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44F3" w14:textId="672BFC43" w:rsidR="00547F4B" w:rsidRDefault="00533667" w:rsidP="00AE6135">
      <w:pPr>
        <w:jc w:val="center"/>
        <w:rPr>
          <w:b/>
        </w:rPr>
      </w:pPr>
      <w:r>
        <w:rPr>
          <w:b/>
        </w:rPr>
        <w:t>Updated</w:t>
      </w:r>
      <w:r w:rsidR="00AE6135">
        <w:rPr>
          <w:b/>
        </w:rPr>
        <w:t xml:space="preserve"> Canadian text proposals</w:t>
      </w:r>
      <w:r>
        <w:rPr>
          <w:b/>
        </w:rPr>
        <w:t>, November 2020</w:t>
      </w:r>
    </w:p>
    <w:p w14:paraId="593E544E" w14:textId="6E25488B" w:rsidR="00AE6135" w:rsidRDefault="00AE6135" w:rsidP="00547F4B">
      <w:pPr>
        <w:rPr>
          <w:b/>
        </w:rPr>
      </w:pPr>
    </w:p>
    <w:p w14:paraId="275CE180" w14:textId="180AA033" w:rsidR="00AE6135" w:rsidRPr="00AE6135" w:rsidRDefault="00AE6135" w:rsidP="00547F4B">
      <w:pPr>
        <w:rPr>
          <w:i/>
        </w:rPr>
      </w:pPr>
      <w:r w:rsidRPr="00AE6135">
        <w:rPr>
          <w:i/>
        </w:rPr>
        <w:t xml:space="preserve">Para </w:t>
      </w:r>
      <w:r w:rsidR="00533667">
        <w:rPr>
          <w:i/>
        </w:rPr>
        <w:t>12</w:t>
      </w:r>
      <w:r w:rsidRPr="00AE6135">
        <w:rPr>
          <w:i/>
        </w:rPr>
        <w:t>: suggest adding at the end:</w:t>
      </w:r>
    </w:p>
    <w:p w14:paraId="5DC0543A" w14:textId="366C271D" w:rsidR="00AE6135" w:rsidRDefault="00AE6135" w:rsidP="00547F4B">
      <w:pPr>
        <w:rPr>
          <w:b/>
        </w:rPr>
      </w:pPr>
      <w:r>
        <w:t>There was also a recognition that more gender-related data is needed in order to drive evidence-based policy making, inform capacity building, as well as address the gender impacts of cyber security policies and capacity building efforts.</w:t>
      </w:r>
    </w:p>
    <w:p w14:paraId="4565E78F" w14:textId="646E62A1" w:rsidR="00547F4B" w:rsidRDefault="00547F4B" w:rsidP="00547F4B">
      <w:pPr>
        <w:rPr>
          <w:b/>
        </w:rPr>
      </w:pPr>
    </w:p>
    <w:p w14:paraId="79CAA230" w14:textId="57402C58" w:rsidR="00AE6135" w:rsidRPr="00AE6135" w:rsidRDefault="00AE6135" w:rsidP="00547F4B">
      <w:pPr>
        <w:rPr>
          <w:i/>
        </w:rPr>
      </w:pPr>
      <w:r w:rsidRPr="00AE6135">
        <w:rPr>
          <w:i/>
        </w:rPr>
        <w:t>Para 1</w:t>
      </w:r>
      <w:r w:rsidR="00533667">
        <w:rPr>
          <w:i/>
        </w:rPr>
        <w:t>8</w:t>
      </w:r>
      <w:r w:rsidRPr="00AE6135">
        <w:rPr>
          <w:i/>
        </w:rPr>
        <w:t xml:space="preserve">: suggest adding after </w:t>
      </w:r>
      <w:r w:rsidR="00533667">
        <w:rPr>
          <w:i/>
        </w:rPr>
        <w:t>the sentence about the development or use of ICT capabilities:</w:t>
      </w:r>
    </w:p>
    <w:p w14:paraId="6B9A0894" w14:textId="04A32459" w:rsidR="00AE6135" w:rsidRDefault="00AE6135" w:rsidP="00547F4B">
      <w:r w:rsidRPr="00BE6DFE">
        <w:t>Other States</w:t>
      </w:r>
      <w:r>
        <w:t xml:space="preserve"> indicated that</w:t>
      </w:r>
      <w:r w:rsidR="00F14313">
        <w:t xml:space="preserve"> the issue</w:t>
      </w:r>
      <w:r>
        <w:t xml:space="preserve"> is not necessarily the existence of these capabilities</w:t>
      </w:r>
      <w:r w:rsidR="00F14313">
        <w:t>. Rather, the issue is</w:t>
      </w:r>
      <w:r>
        <w:t xml:space="preserve"> </w:t>
      </w:r>
      <w:proofErr w:type="gramStart"/>
      <w:r w:rsidR="00F14313" w:rsidRPr="00F14313">
        <w:t>how the</w:t>
      </w:r>
      <w:r w:rsidR="00F14313">
        <w:t>se capabilities</w:t>
      </w:r>
      <w:r w:rsidR="00F14313" w:rsidRPr="00F14313">
        <w:t xml:space="preserve"> are used, and </w:t>
      </w:r>
      <w:r w:rsidR="00F14313">
        <w:t>the need for</w:t>
      </w:r>
      <w:r w:rsidR="00F14313" w:rsidRPr="00F14313">
        <w:t xml:space="preserve"> States </w:t>
      </w:r>
      <w:r w:rsidR="00F14313">
        <w:t>to be</w:t>
      </w:r>
      <w:r w:rsidR="00F14313" w:rsidRPr="00F14313">
        <w:t xml:space="preserve"> transparent about their intentions in this space</w:t>
      </w:r>
      <w:proofErr w:type="gramEnd"/>
      <w:r w:rsidRPr="00F14313">
        <w:t xml:space="preserve">. Several </w:t>
      </w:r>
      <w:r>
        <w:t xml:space="preserve">States have been transparent about their </w:t>
      </w:r>
      <w:r w:rsidR="00F14313">
        <w:t>active</w:t>
      </w:r>
      <w:r>
        <w:t xml:space="preserve"> cyber capabilities</w:t>
      </w:r>
      <w:r w:rsidR="00F14313">
        <w:t>,</w:t>
      </w:r>
      <w:r>
        <w:t xml:space="preserve"> have pledged to use</w:t>
      </w:r>
      <w:r w:rsidRPr="00BE6DFE">
        <w:t xml:space="preserve"> </w:t>
      </w:r>
      <w:r>
        <w:t>them</w:t>
      </w:r>
      <w:r w:rsidRPr="00BE6DFE">
        <w:t xml:space="preserve"> in accordance with international law</w:t>
      </w:r>
      <w:r w:rsidR="00F14313">
        <w:t xml:space="preserve"> and </w:t>
      </w:r>
      <w:r>
        <w:t xml:space="preserve">agreed </w:t>
      </w:r>
      <w:r w:rsidRPr="00BE6DFE">
        <w:t>norms of responsible State behaviour</w:t>
      </w:r>
      <w:r>
        <w:t xml:space="preserve">, and have </w:t>
      </w:r>
      <w:r w:rsidRPr="00BE6DFE">
        <w:t>urge</w:t>
      </w:r>
      <w:r>
        <w:t>d</w:t>
      </w:r>
      <w:r w:rsidRPr="00BE6DFE">
        <w:t xml:space="preserve"> others to be similarly transparent</w:t>
      </w:r>
      <w:r>
        <w:t>.</w:t>
      </w:r>
    </w:p>
    <w:p w14:paraId="4364BDB2" w14:textId="0ACE37C0" w:rsidR="00AE6135" w:rsidRDefault="00AE6135" w:rsidP="00547F4B"/>
    <w:p w14:paraId="243D6B50" w14:textId="4EE4119E" w:rsidR="00AE6135" w:rsidRPr="00AE6135" w:rsidRDefault="00AE6135" w:rsidP="00547F4B">
      <w:pPr>
        <w:rPr>
          <w:i/>
        </w:rPr>
      </w:pPr>
      <w:r w:rsidRPr="00AE6135">
        <w:rPr>
          <w:i/>
        </w:rPr>
        <w:t xml:space="preserve">Para </w:t>
      </w:r>
      <w:r w:rsidR="00533667">
        <w:rPr>
          <w:i/>
        </w:rPr>
        <w:t>20</w:t>
      </w:r>
      <w:r w:rsidRPr="00AE6135">
        <w:rPr>
          <w:i/>
        </w:rPr>
        <w:t xml:space="preserve">: </w:t>
      </w:r>
      <w:r>
        <w:rPr>
          <w:i/>
        </w:rPr>
        <w:t>s</w:t>
      </w:r>
      <w:r w:rsidRPr="00AE6135">
        <w:rPr>
          <w:i/>
        </w:rPr>
        <w:t>uggest adding at the end:</w:t>
      </w:r>
    </w:p>
    <w:p w14:paraId="62F467AB" w14:textId="6ED379DF" w:rsidR="00AE6135" w:rsidRDefault="00AE6135" w:rsidP="00547F4B">
      <w:r w:rsidRPr="00CE1F0B">
        <w:t xml:space="preserve">States recognized that, as part of the threat landscape, cyber threats, policies, initiatives and operations </w:t>
      </w:r>
      <w:proofErr w:type="gramStart"/>
      <w:r w:rsidRPr="00CE1F0B">
        <w:t>can</w:t>
      </w:r>
      <w:proofErr w:type="gramEnd"/>
      <w:r w:rsidRPr="00CE1F0B">
        <w:t xml:space="preserve"> have gender-differentiated impacts</w:t>
      </w:r>
      <w:r w:rsidRPr="001F3256">
        <w:t>.</w:t>
      </w:r>
    </w:p>
    <w:p w14:paraId="41F7587F" w14:textId="511D77D6" w:rsidR="00AE6135" w:rsidRDefault="00AE6135" w:rsidP="00547F4B"/>
    <w:p w14:paraId="728B39D6" w14:textId="260D2289" w:rsidR="00AE6135" w:rsidRPr="00AE6135" w:rsidRDefault="00AE6135" w:rsidP="00547F4B">
      <w:pPr>
        <w:rPr>
          <w:i/>
        </w:rPr>
      </w:pPr>
      <w:r w:rsidRPr="00AE6135">
        <w:rPr>
          <w:i/>
        </w:rPr>
        <w:t xml:space="preserve">Para </w:t>
      </w:r>
      <w:r w:rsidR="006F31C3">
        <w:rPr>
          <w:i/>
        </w:rPr>
        <w:t>21</w:t>
      </w:r>
      <w:r>
        <w:rPr>
          <w:i/>
        </w:rPr>
        <w:t>: suggest adding at the end:</w:t>
      </w:r>
    </w:p>
    <w:p w14:paraId="40CC1852" w14:textId="6545CB56" w:rsidR="00AE6135" w:rsidRPr="008152DC" w:rsidRDefault="00AE6135" w:rsidP="00547F4B">
      <w:r w:rsidRPr="008152DC">
        <w:t>States indicated that new technological developments will continue to be subject to applicable international law and agreed norms.</w:t>
      </w:r>
    </w:p>
    <w:p w14:paraId="419698DB" w14:textId="4972D1A4" w:rsidR="00AE6135" w:rsidRDefault="00AE6135" w:rsidP="00547F4B"/>
    <w:p w14:paraId="54E15060" w14:textId="4821A127" w:rsidR="00AE6135" w:rsidRDefault="006F31C3" w:rsidP="00547F4B">
      <w:pPr>
        <w:rPr>
          <w:b/>
        </w:rPr>
      </w:pPr>
      <w:proofErr w:type="gramStart"/>
      <w:r>
        <w:rPr>
          <w:i/>
        </w:rPr>
        <w:t>chapeau</w:t>
      </w:r>
      <w:proofErr w:type="gramEnd"/>
      <w:r>
        <w:rPr>
          <w:i/>
        </w:rPr>
        <w:t xml:space="preserve"> of IL section</w:t>
      </w:r>
      <w:r w:rsidR="00AE6135" w:rsidRPr="009B7C21">
        <w:rPr>
          <w:i/>
        </w:rPr>
        <w:t>:</w:t>
      </w:r>
      <w:r w:rsidR="00AE6135">
        <w:t xml:space="preserve"> </w:t>
      </w:r>
      <w:r w:rsidR="00AE6135">
        <w:rPr>
          <w:i/>
        </w:rPr>
        <w:t>suggest adding at the end:</w:t>
      </w:r>
    </w:p>
    <w:p w14:paraId="71712526" w14:textId="162A868B" w:rsidR="00547F4B" w:rsidRDefault="00AE6135" w:rsidP="00547F4B">
      <w:pPr>
        <w:rPr>
          <w:b/>
        </w:rPr>
      </w:pPr>
      <w:r>
        <w:t>…</w:t>
      </w:r>
      <w:r w:rsidR="001F61C9">
        <w:t xml:space="preserve">as well as </w:t>
      </w:r>
      <w:r>
        <w:t>by identifying specific topics of international law for more in-depth discussion and by supporting the efforts by States to develop their national expertise on how international law applies in cyberspace.</w:t>
      </w:r>
    </w:p>
    <w:p w14:paraId="74746464" w14:textId="0C786298" w:rsidR="009B7C21" w:rsidRDefault="009B7C21" w:rsidP="00547F4B">
      <w:pPr>
        <w:rPr>
          <w:b/>
        </w:rPr>
      </w:pPr>
    </w:p>
    <w:p w14:paraId="016B228F" w14:textId="49F8CEE2" w:rsidR="009B7C21" w:rsidRDefault="009B7C21" w:rsidP="00547F4B">
      <w:pPr>
        <w:rPr>
          <w:b/>
        </w:rPr>
      </w:pPr>
      <w:r>
        <w:rPr>
          <w:i/>
        </w:rPr>
        <w:t>Para 2</w:t>
      </w:r>
      <w:r w:rsidR="006F31C3">
        <w:rPr>
          <w:i/>
        </w:rPr>
        <w:t>9</w:t>
      </w:r>
      <w:r w:rsidRPr="009B7C21">
        <w:rPr>
          <w:i/>
        </w:rPr>
        <w:t>:</w:t>
      </w:r>
      <w:r>
        <w:t xml:space="preserve"> </w:t>
      </w:r>
      <w:r>
        <w:rPr>
          <w:i/>
        </w:rPr>
        <w:t>suggest adding at the end:</w:t>
      </w:r>
    </w:p>
    <w:p w14:paraId="10FF105E" w14:textId="7858936F" w:rsidR="009B7C21" w:rsidRDefault="008152DC" w:rsidP="00547F4B">
      <w:pPr>
        <w:rPr>
          <w:b/>
        </w:rPr>
      </w:pPr>
      <w:r>
        <w:t>…</w:t>
      </w:r>
      <w:r w:rsidR="009B7C21">
        <w:t xml:space="preserve">including in cyberspace. </w:t>
      </w:r>
      <w:r w:rsidR="001F61C9">
        <w:t xml:space="preserve">Some </w:t>
      </w:r>
      <w:r w:rsidR="009B7C21" w:rsidRPr="007023CC">
        <w:t>States specifically acknowledged their obligations to uphold women’s rights online, in the context of recognizing the applicability of international human rights law, because of the differential threats they experience due to cyber incidents.</w:t>
      </w:r>
    </w:p>
    <w:p w14:paraId="791CFBE3" w14:textId="77777777" w:rsidR="008152DC" w:rsidRDefault="008152DC" w:rsidP="00547F4B">
      <w:pPr>
        <w:rPr>
          <w:b/>
        </w:rPr>
      </w:pPr>
    </w:p>
    <w:p w14:paraId="03E08B47" w14:textId="4B6B59E5" w:rsidR="009B7C21" w:rsidRDefault="009B7C21" w:rsidP="00547F4B">
      <w:pPr>
        <w:rPr>
          <w:b/>
        </w:rPr>
      </w:pPr>
      <w:r w:rsidRPr="009B7C21">
        <w:rPr>
          <w:i/>
        </w:rPr>
        <w:lastRenderedPageBreak/>
        <w:t xml:space="preserve">Para </w:t>
      </w:r>
      <w:r w:rsidR="006F31C3">
        <w:rPr>
          <w:i/>
        </w:rPr>
        <w:t>31</w:t>
      </w:r>
      <w:r w:rsidRPr="009B7C21">
        <w:rPr>
          <w:i/>
        </w:rPr>
        <w:t>:</w:t>
      </w:r>
      <w:r>
        <w:rPr>
          <w:b/>
        </w:rPr>
        <w:t xml:space="preserve"> </w:t>
      </w:r>
      <w:r>
        <w:rPr>
          <w:i/>
        </w:rPr>
        <w:t xml:space="preserve">suggest adding </w:t>
      </w:r>
      <w:r w:rsidR="006F31C3">
        <w:rPr>
          <w:i/>
        </w:rPr>
        <w:t>after the sentence about the need to reach common understanding on how the already agreed normative framework applies:</w:t>
      </w:r>
    </w:p>
    <w:p w14:paraId="6058270E" w14:textId="46368B3A" w:rsidR="009B7C21" w:rsidRDefault="001F61C9" w:rsidP="00547F4B">
      <w:r>
        <w:t>States proposed</w:t>
      </w:r>
      <w:r w:rsidR="009B7C21">
        <w:t xml:space="preserve"> that increased capacity building of national expertise on international law would greatly advance this important work and would help ensure that the widest possible range of States can contribute to the development of this common understanding.  This was identified</w:t>
      </w:r>
      <w:r>
        <w:t xml:space="preserve"> </w:t>
      </w:r>
      <w:proofErr w:type="gramStart"/>
      <w:r>
        <w:t>by States</w:t>
      </w:r>
      <w:r w:rsidR="009B7C21">
        <w:t xml:space="preserve"> as a priority for ongoing collaboration amongst States within the OEWG and in other fora</w:t>
      </w:r>
      <w:proofErr w:type="gramEnd"/>
      <w:r w:rsidR="009B7C21">
        <w:t>.</w:t>
      </w:r>
    </w:p>
    <w:p w14:paraId="67B529C2" w14:textId="2C0FEA1E" w:rsidR="009B7C21" w:rsidRDefault="009B7C21" w:rsidP="00547F4B"/>
    <w:p w14:paraId="7995574A" w14:textId="37D71730" w:rsidR="009B7C21" w:rsidRPr="009B7C21" w:rsidRDefault="009B7C21" w:rsidP="00547F4B">
      <w:pPr>
        <w:rPr>
          <w:b/>
        </w:rPr>
      </w:pPr>
      <w:r w:rsidRPr="009B7C21">
        <w:rPr>
          <w:i/>
        </w:rPr>
        <w:t xml:space="preserve">Para </w:t>
      </w:r>
      <w:r w:rsidR="006F31C3">
        <w:rPr>
          <w:i/>
        </w:rPr>
        <w:t>31</w:t>
      </w:r>
      <w:r w:rsidRPr="009B7C21">
        <w:rPr>
          <w:i/>
        </w:rPr>
        <w:t>:</w:t>
      </w:r>
      <w:r>
        <w:rPr>
          <w:b/>
        </w:rPr>
        <w:t xml:space="preserve"> </w:t>
      </w:r>
      <w:r>
        <w:rPr>
          <w:i/>
        </w:rPr>
        <w:t>suggest adding at the end:</w:t>
      </w:r>
    </w:p>
    <w:p w14:paraId="23724D4D" w14:textId="28CCEE90" w:rsidR="009B7C21" w:rsidRDefault="009B7C21" w:rsidP="00547F4B">
      <w:r>
        <w:t>Other States highlighted their view that</w:t>
      </w:r>
      <w:r w:rsidR="00A86825">
        <w:t>, if adhered to,</w:t>
      </w:r>
      <w:r>
        <w:t xml:space="preserve"> existing international law and agreed norms</w:t>
      </w:r>
      <w:r w:rsidR="006E51F3">
        <w:t xml:space="preserve"> provide </w:t>
      </w:r>
      <w:r w:rsidR="00A86825">
        <w:t>a robust framework</w:t>
      </w:r>
      <w:r w:rsidR="006E51F3">
        <w:t xml:space="preserve"> to address the threats posed malicious cyber activity</w:t>
      </w:r>
      <w:r w:rsidR="00C046A4">
        <w:t xml:space="preserve"> by States</w:t>
      </w:r>
      <w:r w:rsidR="006E51F3">
        <w:t xml:space="preserve"> and </w:t>
      </w:r>
      <w:r>
        <w:t>to guide State behaviour in cyberspace</w:t>
      </w:r>
      <w:r w:rsidR="00C046A4">
        <w:t xml:space="preserve">. </w:t>
      </w:r>
      <w:r w:rsidR="00524A2B">
        <w:t>In these States opinion, t</w:t>
      </w:r>
      <w:r>
        <w:t>he focus should be on providing guidance to States on the applicability of international law and the implementation of agreed norms.</w:t>
      </w:r>
      <w:r w:rsidR="006E5284" w:rsidRPr="006E5284">
        <w:t xml:space="preserve"> </w:t>
      </w:r>
      <w:r>
        <w:t>These States</w:t>
      </w:r>
      <w:r w:rsidR="006E5284">
        <w:t xml:space="preserve"> also</w:t>
      </w:r>
      <w:r>
        <w:t xml:space="preserve"> highlighted that negotiating a legally binding instrument would take years, provide little additional value and that consensus does not appear to exist to move forward along these lines </w:t>
      </w:r>
      <w:proofErr w:type="gramStart"/>
      <w:r>
        <w:t>at the present time</w:t>
      </w:r>
      <w:proofErr w:type="gramEnd"/>
      <w:r>
        <w:t>.</w:t>
      </w:r>
    </w:p>
    <w:p w14:paraId="78031562" w14:textId="27F6D4CA" w:rsidR="009B7C21" w:rsidRDefault="009B7C21" w:rsidP="00547F4B"/>
    <w:p w14:paraId="434E095F" w14:textId="370BACE8" w:rsidR="009B7C21" w:rsidRPr="009B7C21" w:rsidRDefault="009B7C21" w:rsidP="00547F4B">
      <w:pPr>
        <w:rPr>
          <w:b/>
        </w:rPr>
      </w:pPr>
      <w:r w:rsidRPr="009B7C21">
        <w:rPr>
          <w:i/>
        </w:rPr>
        <w:t xml:space="preserve">Para </w:t>
      </w:r>
      <w:r>
        <w:rPr>
          <w:i/>
        </w:rPr>
        <w:t>3</w:t>
      </w:r>
      <w:r w:rsidR="006F31C3">
        <w:rPr>
          <w:i/>
        </w:rPr>
        <w:t>6</w:t>
      </w:r>
      <w:r w:rsidRPr="009B7C21">
        <w:rPr>
          <w:i/>
        </w:rPr>
        <w:t>:</w:t>
      </w:r>
      <w:r>
        <w:rPr>
          <w:b/>
        </w:rPr>
        <w:t xml:space="preserve"> </w:t>
      </w:r>
      <w:r>
        <w:rPr>
          <w:i/>
        </w:rPr>
        <w:t>suggest adding at the end:</w:t>
      </w:r>
    </w:p>
    <w:p w14:paraId="3B7CE808" w14:textId="5F35FFCA" w:rsidR="009B7C21" w:rsidRDefault="009B7C21" w:rsidP="00547F4B">
      <w:pPr>
        <w:rPr>
          <w:b/>
        </w:rPr>
      </w:pPr>
      <w:r>
        <w:t xml:space="preserve">Other States expressed the point of view that </w:t>
      </w:r>
      <w:r w:rsidRPr="00C03356">
        <w:t>States retain sole discretion, based on</w:t>
      </w:r>
      <w:r w:rsidR="00B71029">
        <w:t xml:space="preserve"> their</w:t>
      </w:r>
      <w:r w:rsidRPr="00C03356">
        <w:t xml:space="preserve"> </w:t>
      </w:r>
      <w:r w:rsidR="00947EF8">
        <w:t>chosen</w:t>
      </w:r>
      <w:r w:rsidRPr="00C03356">
        <w:t xml:space="preserve"> investigative processes, to determine how wrongful cyber activities are attributed to </w:t>
      </w:r>
      <w:r>
        <w:t>S</w:t>
      </w:r>
      <w:r w:rsidRPr="00C03356">
        <w:t>tate actors</w:t>
      </w:r>
      <w:r>
        <w:t>.</w:t>
      </w:r>
    </w:p>
    <w:p w14:paraId="6E9EDB4C" w14:textId="77777777" w:rsidR="009B7C21" w:rsidRDefault="009B7C21" w:rsidP="00547F4B">
      <w:pPr>
        <w:rPr>
          <w:b/>
        </w:rPr>
      </w:pPr>
    </w:p>
    <w:p w14:paraId="1CAB1898" w14:textId="0E471ECB" w:rsidR="00547F4B" w:rsidRPr="009B7C21" w:rsidRDefault="00547F4B" w:rsidP="00547F4B">
      <w:pPr>
        <w:rPr>
          <w:i/>
        </w:rPr>
      </w:pPr>
      <w:r w:rsidRPr="009B7C21">
        <w:rPr>
          <w:i/>
        </w:rPr>
        <w:t xml:space="preserve">Proposed norms guidance text to include in para </w:t>
      </w:r>
      <w:r w:rsidR="00FB65A7">
        <w:rPr>
          <w:i/>
        </w:rPr>
        <w:t>41</w:t>
      </w:r>
      <w:r w:rsidR="009B7C21">
        <w:rPr>
          <w:i/>
        </w:rPr>
        <w:t>:</w:t>
      </w:r>
    </w:p>
    <w:p w14:paraId="79546412" w14:textId="77777777" w:rsidR="003D2464" w:rsidRDefault="003D2464" w:rsidP="003D2464"/>
    <w:p w14:paraId="358FF5BC" w14:textId="77777777" w:rsidR="003D2464" w:rsidRPr="00BA759F" w:rsidRDefault="003D2464" w:rsidP="003D2464">
      <w:pPr>
        <w:spacing w:after="240"/>
        <w:rPr>
          <w:rFonts w:ascii="Calibri" w:eastAsia="Times New Roman" w:hAnsi="Calibri" w:cs="Calibri"/>
        </w:rPr>
      </w:pPr>
      <w:r>
        <w:rPr>
          <w:rFonts w:ascii="Calibri" w:eastAsia="Times New Roman" w:hAnsi="Calibri" w:cs="Calibri"/>
        </w:rPr>
        <w:t>While these norms articulate what actions States should or should not take, States underscored the need for guidance on how to operationalize them, and offered the following guidance on the 2015 GGE norms.  </w:t>
      </w:r>
      <w:commentRangeStart w:id="0"/>
      <w:r w:rsidRPr="00BA759F">
        <w:rPr>
          <w:rFonts w:ascii="Calibri" w:eastAsia="Times New Roman" w:hAnsi="Calibri" w:cs="Calibri"/>
        </w:rPr>
        <w:t>In the understanding of the OEWG, both the norms and the guidance are without prejudice to,</w:t>
      </w:r>
      <w:proofErr w:type="gramStart"/>
      <w:r w:rsidRPr="00BA759F">
        <w:rPr>
          <w:rFonts w:ascii="Calibri" w:eastAsia="Times New Roman" w:hAnsi="Calibri" w:cs="Calibri"/>
        </w:rPr>
        <w:t>  and</w:t>
      </w:r>
      <w:proofErr w:type="gramEnd"/>
      <w:r w:rsidRPr="00BA759F">
        <w:rPr>
          <w:rFonts w:ascii="Calibri" w:eastAsia="Times New Roman" w:hAnsi="Calibri" w:cs="Calibri"/>
        </w:rPr>
        <w:t xml:space="preserve"> do not alter or diminish in any way, State’s existing rights and obligations under international law.  </w:t>
      </w:r>
      <w:commentRangeEnd w:id="0"/>
      <w:r>
        <w:rPr>
          <w:rStyle w:val="CommentReference"/>
        </w:rPr>
        <w:commentReference w:id="0"/>
      </w:r>
    </w:p>
    <w:p w14:paraId="6ED2F60D" w14:textId="77777777" w:rsidR="003D2464" w:rsidRDefault="003D2464" w:rsidP="003D2464"/>
    <w:p w14:paraId="2E3638E0" w14:textId="77777777" w:rsidR="003D2464" w:rsidRDefault="003D2464" w:rsidP="003D2464">
      <w:pPr>
        <w:pStyle w:val="Default"/>
        <w:spacing w:before="120" w:after="120"/>
        <w:jc w:val="both"/>
        <w:rPr>
          <w:rFonts w:ascii="Times New Roman" w:eastAsia="Times New Roman" w:hAnsi="Times New Roman" w:cs="Times New Roman"/>
          <w:sz w:val="24"/>
          <w:szCs w:val="24"/>
          <w:lang w:val="en-GB"/>
        </w:rPr>
      </w:pPr>
    </w:p>
    <w:p w14:paraId="7130AF6E"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Consistent with the purposes of the United Nations, including to maintain international peace and security, States should cooperate in developing and applying measures to increase stability and security in the use of ICTs and to prevent ICT practices that are acknowledged to be harmful or that may pose threats to international peace and security; (2015 ¶13(a)). </w:t>
      </w:r>
    </w:p>
    <w:p w14:paraId="73C708CB" w14:textId="77777777" w:rsidR="003D2464" w:rsidRDefault="003D2464" w:rsidP="003D2464">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lang w:val="en-GB"/>
        </w:rPr>
        <w:lastRenderedPageBreak/>
        <w:t>This norm is general in nature and does not require its own specific guidance. The implementation of the entire range of norms will contribute to implementing the objectives of this norm.</w:t>
      </w:r>
    </w:p>
    <w:p w14:paraId="35A93B13" w14:textId="77777777" w:rsidR="003D2464" w:rsidRDefault="003D2464" w:rsidP="003D2464">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commentRangeStart w:id="1"/>
      <w:r>
        <w:rPr>
          <w:color w:val="7030A0"/>
        </w:rPr>
        <w:t xml:space="preserve">Member States should be encouraged to compile and streamline the information that they present on their implementation of </w:t>
      </w:r>
      <w:r>
        <w:rPr>
          <w:iCs/>
          <w:color w:val="7030A0"/>
        </w:rPr>
        <w:t>the agreed norms</w:t>
      </w:r>
      <w:r>
        <w:rPr>
          <w:color w:val="7030A0"/>
        </w:rPr>
        <w:t>.</w:t>
      </w:r>
      <w:commentRangeEnd w:id="1"/>
      <w:r>
        <w:rPr>
          <w:rStyle w:val="CommentReference"/>
          <w:bdr w:val="none" w:sz="0" w:space="0" w:color="auto" w:frame="1"/>
        </w:rPr>
        <w:commentReference w:id="1"/>
      </w:r>
    </w:p>
    <w:p w14:paraId="384C0DF6" w14:textId="77777777" w:rsidR="003D2464" w:rsidRDefault="003D2464" w:rsidP="003D2464">
      <w:pPr>
        <w:pStyle w:val="Default"/>
        <w:spacing w:before="120" w:after="120"/>
        <w:jc w:val="both"/>
        <w:rPr>
          <w:rFonts w:ascii="Times New Roman" w:eastAsia="Times New Roman" w:hAnsi="Times New Roman" w:cs="Times New Roman"/>
          <w:sz w:val="24"/>
          <w:szCs w:val="24"/>
          <w:lang w:val="en-GB"/>
        </w:rPr>
      </w:pPr>
    </w:p>
    <w:p w14:paraId="58C069D6"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In case of ICT incidents, States should consider all relevant information, including the larger context of the event, the challenges of attribution in the ICT environment and the nature and extent of the consequences (2015 ¶</w:t>
      </w:r>
      <w:proofErr w:type="gramStart"/>
      <w:r>
        <w:rPr>
          <w:rFonts w:ascii="Times New Roman" w:hAnsi="Times New Roman" w:cs="Times New Roman"/>
          <w:sz w:val="24"/>
          <w:szCs w:val="24"/>
          <w:lang w:val="en-GB"/>
        </w:rPr>
        <w:t>13(</w:t>
      </w:r>
      <w:proofErr w:type="gramEnd"/>
      <w:r>
        <w:rPr>
          <w:rFonts w:ascii="Times New Roman" w:hAnsi="Times New Roman" w:cs="Times New Roman"/>
          <w:sz w:val="24"/>
          <w:szCs w:val="24"/>
          <w:lang w:val="en-GB"/>
        </w:rPr>
        <w:t xml:space="preserve">b)). </w:t>
      </w:r>
    </w:p>
    <w:p w14:paraId="68A91DEB" w14:textId="77777777" w:rsidR="003D2464" w:rsidRDefault="003D2464" w:rsidP="003D2464">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lang w:val="en-GB"/>
        </w:rPr>
        <w:t xml:space="preserve">States could establish the national structures, policies, processes and coordination mechanisms necessary to facilitate careful consideration of serious ICT incidents and to determine appropriate responses. </w:t>
      </w:r>
    </w:p>
    <w:p w14:paraId="3AED9EC8" w14:textId="77777777" w:rsidR="003D2464" w:rsidRDefault="003D2464" w:rsidP="003D2464">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Pr>
          <w:lang w:val="en-GB"/>
        </w:rPr>
        <w:t xml:space="preserve">Once those structures and processes are in place, States could develop ICT incident assessment or severity templates to evaluate and assess ICT incidents. </w:t>
      </w:r>
    </w:p>
    <w:p w14:paraId="48F13366" w14:textId="77777777" w:rsidR="003D2464" w:rsidRDefault="003D2464" w:rsidP="003D2464">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lang w:val="en-GB"/>
        </w:rPr>
        <w:t>Transparency about and harmonization of such templates by regional organizations could ensure commonality in how States consider ICT incidents and improve communication between States. Wherever possible, the templates should be in line with existing practices and avoid duplication.</w:t>
      </w:r>
    </w:p>
    <w:p w14:paraId="684DBA9A" w14:textId="77777777" w:rsidR="003D2464" w:rsidRDefault="003D2464" w:rsidP="003D2464">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t xml:space="preserve">When considering all relevant information in the case of an ICT incident, States should conduct research into possible gendered impacts, and work inclusively with all stakeholders to understand the larger context of an ICT incident, including its impact on the enjoyment of women’s rights. </w:t>
      </w:r>
    </w:p>
    <w:p w14:paraId="08FC8B07" w14:textId="77777777" w:rsidR="003D2464" w:rsidRDefault="003D2464" w:rsidP="003D2464">
      <w:pPr>
        <w:pStyle w:val="ListParagraph"/>
        <w:spacing w:before="120" w:after="120"/>
        <w:ind w:left="2520"/>
        <w:jc w:val="both"/>
        <w:rPr>
          <w:rFonts w:eastAsia="Times New Roman"/>
          <w:lang w:val="en-GB"/>
        </w:rPr>
      </w:pPr>
    </w:p>
    <w:p w14:paraId="5B6E404B"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States should not knowingly allow their territory to </w:t>
      </w:r>
      <w:proofErr w:type="gramStart"/>
      <w:r>
        <w:rPr>
          <w:rFonts w:ascii="Times New Roman" w:hAnsi="Times New Roman" w:cs="Times New Roman"/>
          <w:sz w:val="24"/>
          <w:szCs w:val="24"/>
          <w:lang w:val="en-GB"/>
        </w:rPr>
        <w:t>be used</w:t>
      </w:r>
      <w:proofErr w:type="gramEnd"/>
      <w:r>
        <w:rPr>
          <w:rFonts w:ascii="Times New Roman" w:hAnsi="Times New Roman" w:cs="Times New Roman"/>
          <w:sz w:val="24"/>
          <w:szCs w:val="24"/>
          <w:lang w:val="en-GB"/>
        </w:rPr>
        <w:t xml:space="preserve"> for internationally wrongful acts using ICTs (2015 ¶13(c)).</w:t>
      </w:r>
    </w:p>
    <w:p w14:paraId="2FA5524B" w14:textId="77777777" w:rsidR="003D2464" w:rsidRDefault="003D2464" w:rsidP="003D2464">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bdr w:val="none" w:sz="0" w:space="0" w:color="auto" w:frame="1"/>
          <w:lang w:val="en-GB"/>
        </w:rPr>
        <w:t>With respect to the</w:t>
      </w:r>
      <w:r>
        <w:rPr>
          <w:lang w:val="en-GB"/>
        </w:rPr>
        <w:t xml:space="preserve"> implementation of this norm: </w:t>
      </w:r>
    </w:p>
    <w:p w14:paraId="7452C0F0" w14:textId="77777777" w:rsidR="003D2464" w:rsidRDefault="003D2464" w:rsidP="003D2464">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If a State identifies malicious cyber activity emanating from another State’s territory or cyber infrastructure, a first step could be notifying that State.  Computer Emergency Response Teams (CERTs) are crucial to being able to identify such activity.</w:t>
      </w:r>
    </w:p>
    <w:p w14:paraId="25C0B226" w14:textId="77777777" w:rsidR="003D2464" w:rsidRDefault="003D2464" w:rsidP="003D2464">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 xml:space="preserve">Given that ICT incidents can emanate from or involve third States, it </w:t>
      </w:r>
      <w:proofErr w:type="gramStart"/>
      <w:r>
        <w:rPr>
          <w:lang w:val="en-GB"/>
        </w:rPr>
        <w:t>is understood</w:t>
      </w:r>
      <w:proofErr w:type="gramEnd"/>
      <w:r>
        <w:rPr>
          <w:lang w:val="en-GB"/>
        </w:rPr>
        <w:t xml:space="preserve"> that notifying a State does not imply responsibility of that State </w:t>
      </w:r>
      <w:r>
        <w:rPr>
          <w:iCs/>
          <w:lang w:val="en-GB"/>
        </w:rPr>
        <w:t>for the incident</w:t>
      </w:r>
      <w:r>
        <w:rPr>
          <w:lang w:val="en-GB"/>
        </w:rPr>
        <w:t>.</w:t>
      </w:r>
    </w:p>
    <w:p w14:paraId="6C7F1220" w14:textId="77777777" w:rsidR="003D2464" w:rsidRDefault="003D2464" w:rsidP="003D2464">
      <w:pPr>
        <w:pStyle w:val="Defaul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The notified State should acknowledge receipt of the request via the relevant national point of contact. </w:t>
      </w:r>
    </w:p>
    <w:p w14:paraId="61E749E9" w14:textId="77777777" w:rsidR="003D2464" w:rsidRDefault="003D2464" w:rsidP="003D2464">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iCs/>
        </w:rPr>
        <w:t xml:space="preserve">When a State has knowledge that its territory or cyber infrastructure is being used for an internationally wrongful act </w:t>
      </w:r>
      <w:commentRangeStart w:id="2"/>
      <w:r w:rsidRPr="00C93282">
        <w:rPr>
          <w:iCs/>
        </w:rPr>
        <w:t xml:space="preserve">conducted using ICTs </w:t>
      </w:r>
      <w:r>
        <w:rPr>
          <w:iCs/>
        </w:rPr>
        <w:t xml:space="preserve">that is likely to produce serious adverse consequences in a State to which relevant legal obligations are owed, </w:t>
      </w:r>
      <w:commentRangeEnd w:id="2"/>
      <w:r>
        <w:rPr>
          <w:rStyle w:val="CommentReference"/>
          <w:bdr w:val="none" w:sz="0" w:space="0" w:color="auto" w:frame="1"/>
        </w:rPr>
        <w:commentReference w:id="2"/>
      </w:r>
      <w:r>
        <w:rPr>
          <w:iCs/>
        </w:rPr>
        <w:t xml:space="preserve">the former State should endeavor to take reasonable, available and practicable measures within its territory and capabilities, consistent with its domestic and international law obligations, to cause the </w:t>
      </w:r>
      <w:r>
        <w:rPr>
          <w:iCs/>
        </w:rPr>
        <w:lastRenderedPageBreak/>
        <w:t>internationally wrongful act to cease, or to mitigate its consequences.  </w:t>
      </w:r>
    </w:p>
    <w:p w14:paraId="010B6C41" w14:textId="77777777" w:rsidR="003D2464" w:rsidRDefault="003D2464" w:rsidP="003D2464">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commentRangeStart w:id="3"/>
      <w:r>
        <w:t xml:space="preserve">A state may gain knowledge of such an act following a notification from an affected State. Such notification </w:t>
      </w:r>
      <w:proofErr w:type="gramStart"/>
      <w:r>
        <w:t>must be made</w:t>
      </w:r>
      <w:proofErr w:type="gramEnd"/>
      <w:r>
        <w:t xml:space="preserve"> in good faith and should be accompanied with supporting information. Supporting information may include sharing possible Indicators of Compromise (</w:t>
      </w:r>
      <w:proofErr w:type="spellStart"/>
      <w:r>
        <w:t>IoCs</w:t>
      </w:r>
      <w:proofErr w:type="spellEnd"/>
      <w:r>
        <w:t>), such as IP address and computers used for malicious ICT acts and malware information.</w:t>
      </w:r>
      <w:commentRangeEnd w:id="3"/>
      <w:r>
        <w:rPr>
          <w:rStyle w:val="CommentReference"/>
          <w:bdr w:val="none" w:sz="0" w:space="0" w:color="auto" w:frame="1"/>
        </w:rPr>
        <w:commentReference w:id="3"/>
      </w:r>
    </w:p>
    <w:p w14:paraId="2E44AFB7" w14:textId="77777777" w:rsidR="003D2464" w:rsidRDefault="003D2464" w:rsidP="003D2464">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commentRangeStart w:id="4"/>
      <w:r>
        <w:rPr>
          <w:lang w:val="en-GB"/>
        </w:rPr>
        <w:t>States should be encouraged to ensure that non-State actors, including the private sector, </w:t>
      </w:r>
      <w:proofErr w:type="gramStart"/>
      <w:r>
        <w:rPr>
          <w:lang w:val="en-GB"/>
        </w:rPr>
        <w:t>are prevented</w:t>
      </w:r>
      <w:proofErr w:type="gramEnd"/>
      <w:r>
        <w:rPr>
          <w:lang w:val="en-GB"/>
        </w:rPr>
        <w:t xml:space="preserve"> from conducting malicious ICT activities for their own purposes or those of State or other non-State actors to the detriment of third parties including those located on another State’s territory. This aim </w:t>
      </w:r>
      <w:proofErr w:type="gramStart"/>
      <w:r>
        <w:rPr>
          <w:lang w:val="en-GB"/>
        </w:rPr>
        <w:t>could be achieved</w:t>
      </w:r>
      <w:proofErr w:type="gramEnd"/>
      <w:r>
        <w:rPr>
          <w:lang w:val="en-GB"/>
        </w:rPr>
        <w:t xml:space="preserve"> by working with the private sector to define permissible actions using a risk-based approach and to develop concrete tools - certification processes, best-practices guides, response mechanisms to incidents and, as appropriate, national regulations.</w:t>
      </w:r>
      <w:commentRangeEnd w:id="4"/>
      <w:r>
        <w:rPr>
          <w:rStyle w:val="CommentReference"/>
          <w:bdr w:val="none" w:sz="0" w:space="0" w:color="auto" w:frame="1"/>
        </w:rPr>
        <w:commentReference w:id="4"/>
      </w:r>
    </w:p>
    <w:p w14:paraId="1C15B881" w14:textId="77777777" w:rsidR="003D2464" w:rsidRDefault="003D2464" w:rsidP="003D2464">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iCs/>
        </w:rPr>
        <w:t xml:space="preserve">This norm </w:t>
      </w:r>
      <w:proofErr w:type="gramStart"/>
      <w:r>
        <w:rPr>
          <w:iCs/>
        </w:rPr>
        <w:t>should not be interpreted</w:t>
      </w:r>
      <w:proofErr w:type="gramEnd"/>
      <w:r>
        <w:rPr>
          <w:iCs/>
        </w:rPr>
        <w:t xml:space="preserve"> as requiring a state to monitor proactively all ICTs within its territory, or to take other preventative steps.</w:t>
      </w:r>
    </w:p>
    <w:p w14:paraId="0853F49C" w14:textId="77777777" w:rsidR="003D2464" w:rsidRDefault="003D2464" w:rsidP="003D2464">
      <w:pPr>
        <w:pStyle w:val="ListParagraph"/>
        <w:spacing w:before="120" w:after="120"/>
        <w:ind w:left="2880"/>
        <w:jc w:val="both"/>
        <w:rPr>
          <w:i/>
          <w:highlight w:val="green"/>
          <w:lang w:val="en-GB"/>
        </w:rPr>
      </w:pPr>
    </w:p>
    <w:p w14:paraId="17DBC84C" w14:textId="77777777" w:rsidR="003D2464" w:rsidRDefault="003D2464" w:rsidP="003D2464">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color w:val="000000"/>
          <w:lang w:val="en-GB" w:eastAsia="en-GB"/>
        </w:rPr>
        <w:t>A State</w:t>
      </w:r>
      <w:r>
        <w:rPr>
          <w:lang w:val="en-GB"/>
        </w:rPr>
        <w:t xml:space="preserve"> that becomes aware of harmful ICT activities emanating from its territory but lacks the capacity to respond may choose to seek assistance from other States, including through standard assistance request templates. </w:t>
      </w:r>
    </w:p>
    <w:p w14:paraId="659FCF9B" w14:textId="77777777" w:rsidR="003D2464" w:rsidRDefault="003D2464" w:rsidP="003D2464">
      <w:pPr>
        <w:pStyle w:val="ListParagraph"/>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t xml:space="preserve">In such cases, assistance </w:t>
      </w:r>
      <w:proofErr w:type="gramStart"/>
      <w:r>
        <w:t>may be sought</w:t>
      </w:r>
      <w:proofErr w:type="gramEnd"/>
      <w:r>
        <w:t xml:space="preserve"> from other States, or from a private entity, in a manner consistent with national law.</w:t>
      </w:r>
    </w:p>
    <w:p w14:paraId="3EEC5426" w14:textId="77777777" w:rsidR="003D2464" w:rsidRDefault="003D2464" w:rsidP="003D2464">
      <w:pPr>
        <w:pStyle w:val="Default"/>
        <w:spacing w:before="120" w:after="120"/>
        <w:jc w:val="both"/>
        <w:rPr>
          <w:rFonts w:ascii="Times New Roman" w:eastAsia="Times New Roman" w:hAnsi="Times New Roman" w:cs="Times New Roman"/>
          <w:sz w:val="24"/>
          <w:szCs w:val="24"/>
          <w:lang w:val="en-GB"/>
        </w:rPr>
      </w:pPr>
    </w:p>
    <w:p w14:paraId="0B650814" w14:textId="77777777" w:rsidR="003D2464" w:rsidRDefault="003D2464" w:rsidP="003D2464">
      <w:pPr>
        <w:pStyle w:val="Default"/>
        <w:numPr>
          <w:ilvl w:val="1"/>
          <w:numId w:val="15"/>
        </w:numPr>
        <w:pBdr>
          <w:top w:val="single" w:sz="4" w:space="1" w:color="auto"/>
          <w:left w:val="single" w:sz="4" w:space="0"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States should consider how best to cooperate to exchange information, assist each other, </w:t>
      </w:r>
      <w:proofErr w:type="gramStart"/>
      <w:r>
        <w:rPr>
          <w:rFonts w:ascii="Times New Roman" w:hAnsi="Times New Roman" w:cs="Times New Roman"/>
          <w:sz w:val="24"/>
          <w:szCs w:val="24"/>
          <w:lang w:val="en-GB"/>
        </w:rPr>
        <w:t>prosecute</w:t>
      </w:r>
      <w:proofErr w:type="gramEnd"/>
      <w:r>
        <w:rPr>
          <w:rFonts w:ascii="Times New Roman" w:hAnsi="Times New Roman" w:cs="Times New Roman"/>
          <w:sz w:val="24"/>
          <w:szCs w:val="24"/>
          <w:lang w:val="en-GB"/>
        </w:rPr>
        <w:t xml:space="preserve"> terrorist and criminal use of ICTs and implement other cooperative measures to address such threats. States may need to consider whether new measures need to </w:t>
      </w:r>
      <w:proofErr w:type="gramStart"/>
      <w:r>
        <w:rPr>
          <w:rFonts w:ascii="Times New Roman" w:hAnsi="Times New Roman" w:cs="Times New Roman"/>
          <w:sz w:val="24"/>
          <w:szCs w:val="24"/>
          <w:lang w:val="en-GB"/>
        </w:rPr>
        <w:t>be developed</w:t>
      </w:r>
      <w:proofErr w:type="gramEnd"/>
      <w:r>
        <w:rPr>
          <w:rFonts w:ascii="Times New Roman" w:hAnsi="Times New Roman" w:cs="Times New Roman"/>
          <w:sz w:val="24"/>
          <w:szCs w:val="24"/>
          <w:lang w:val="en-GB"/>
        </w:rPr>
        <w:t xml:space="preserve"> in this respect. (2015 ¶</w:t>
      </w:r>
      <w:proofErr w:type="gramStart"/>
      <w:r>
        <w:rPr>
          <w:rFonts w:ascii="Times New Roman" w:hAnsi="Times New Roman" w:cs="Times New Roman"/>
          <w:sz w:val="24"/>
          <w:szCs w:val="24"/>
          <w:lang w:val="en-GB"/>
        </w:rPr>
        <w:t>13(</w:t>
      </w:r>
      <w:proofErr w:type="gramEnd"/>
      <w:r>
        <w:rPr>
          <w:rFonts w:ascii="Times New Roman" w:hAnsi="Times New Roman" w:cs="Times New Roman"/>
          <w:sz w:val="24"/>
          <w:szCs w:val="24"/>
          <w:lang w:val="en-GB"/>
        </w:rPr>
        <w:t>d)).</w:t>
      </w:r>
    </w:p>
    <w:p w14:paraId="3DF3ABAD" w14:textId="77777777" w:rsidR="003D2464" w:rsidRDefault="003D2464" w:rsidP="003D246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bdr w:val="none" w:sz="0" w:space="0" w:color="auto" w:frame="1"/>
          <w:lang w:val="en-GB"/>
        </w:rPr>
        <w:t xml:space="preserve">In implementing this norm, </w:t>
      </w:r>
      <w:r>
        <w:rPr>
          <w:lang w:val="en-GB"/>
        </w:rPr>
        <w:t>States should:</w:t>
      </w:r>
    </w:p>
    <w:p w14:paraId="409BBBC2" w14:textId="77777777" w:rsidR="00480AAD" w:rsidRDefault="00480AAD" w:rsidP="00480AAD">
      <w:pPr>
        <w:pStyle w:val="ListParagraph"/>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t xml:space="preserve">Consider, as appropriate, supporting the work of the UN Commission on Crime Prevention and Criminal Justice, including </w:t>
      </w:r>
      <w:commentRangeStart w:id="5"/>
      <w:r>
        <w:t xml:space="preserve">by renewing the mandate of the open-ended intergovernmental Expert Group, and supporting </w:t>
      </w:r>
      <w:commentRangeEnd w:id="5"/>
      <w:r>
        <w:rPr>
          <w:rStyle w:val="CommentReference"/>
        </w:rPr>
        <w:commentReference w:id="5"/>
      </w:r>
      <w:r>
        <w:t>its ongoing efforts to study, in a comprehensive manner, the problem of cybercrime.</w:t>
      </w:r>
    </w:p>
    <w:p w14:paraId="5742CD58"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bookmarkStart w:id="6" w:name="_GoBack"/>
      <w:bookmarkEnd w:id="6"/>
      <w:proofErr w:type="gramStart"/>
      <w:r>
        <w:t xml:space="preserve">Support the efforts of the United Nations Office on Drugs and Crime to continue to provide, upon request and based on national needs, technical assistance and sustainable capacity-building to Member States to deal with cybercrime, through the Global </w:t>
      </w:r>
      <w:proofErr w:type="spellStart"/>
      <w:r>
        <w:t>Programme</w:t>
      </w:r>
      <w:proofErr w:type="spellEnd"/>
      <w:r>
        <w:t xml:space="preserve"> on Cybercrime and, inter alia, its regional offices, in relation to the prevention, detection, investigation and prosecution of cybercrime in all its forms, recognizing that cooperation with Member States, relevant international and regional organizations, the private sector, </w:t>
      </w:r>
      <w:r>
        <w:lastRenderedPageBreak/>
        <w:t>civil society and other relevant stakeholders can facilitate this activity.</w:t>
      </w:r>
      <w:proofErr w:type="gramEnd"/>
    </w:p>
    <w:p w14:paraId="38CC7F23"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i/>
          <w:iCs/>
        </w:rPr>
      </w:pPr>
      <w:r>
        <w:rPr>
          <w:iCs/>
        </w:rPr>
        <w:t>Consider taking new measures, such as adopting national legislation to combat cybercrime, in a manner that is consistent with States’ human rights obligations and that ensures judicial guarantees</w:t>
      </w:r>
      <w:r>
        <w:rPr>
          <w:i/>
          <w:iCs/>
        </w:rPr>
        <w:t xml:space="preserve">. </w:t>
      </w:r>
    </w:p>
    <w:p w14:paraId="18363736" w14:textId="77777777" w:rsidR="003D2464" w:rsidRDefault="003D2464" w:rsidP="003D2464">
      <w:pPr>
        <w:pStyle w:val="ListParagraph"/>
        <w:spacing w:before="120" w:after="120"/>
        <w:ind w:left="2880"/>
        <w:jc w:val="both"/>
      </w:pPr>
    </w:p>
    <w:p w14:paraId="72F0CFC2" w14:textId="77777777" w:rsidR="003D2464" w:rsidRDefault="003D2464" w:rsidP="003D2464">
      <w:pPr>
        <w:pStyle w:val="ListParagraph"/>
        <w:spacing w:before="120" w:after="120"/>
        <w:ind w:left="2160"/>
        <w:jc w:val="both"/>
        <w:rPr>
          <w:lang w:val="en-GB"/>
        </w:rPr>
      </w:pPr>
    </w:p>
    <w:p w14:paraId="1B5F27B6" w14:textId="77777777" w:rsidR="003D2464" w:rsidRDefault="003D2464" w:rsidP="003D2464">
      <w:pPr>
        <w:pStyle w:val="ListParagraph1"/>
        <w:widowControl w:val="0"/>
        <w:numPr>
          <w:ilvl w:val="1"/>
          <w:numId w:val="15"/>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4"/>
          <w:szCs w:val="24"/>
        </w:rPr>
      </w:pPr>
      <w:proofErr w:type="gramStart"/>
      <w:r>
        <w:rPr>
          <w:rFonts w:ascii="Times New Roman" w:hAnsi="Times New Roman" w:cs="Times New Roman"/>
          <w:sz w:val="24"/>
          <w:szCs w:val="24"/>
        </w:rPr>
        <w:t>States, in ensuring the secure use of ICTs, should respect Human Rights Council resolutions A/HRC/RES/20/8 and A/HRC/RES/26/13 (The promotion, protection and enjoyment of human rights on the Internet), as well as General Assembly resolutions A/RES/68/167 and A/RES 69/166 (The right to privacy in the digital age), to guarantee full respect for human rights, including the right to freedom of expression.</w:t>
      </w:r>
      <w:proofErr w:type="gramEnd"/>
      <w:r>
        <w:rPr>
          <w:rFonts w:ascii="Times New Roman" w:hAnsi="Times New Roman" w:cs="Times New Roman"/>
          <w:sz w:val="24"/>
          <w:szCs w:val="24"/>
        </w:rPr>
        <w:t xml:space="preserve"> (2015 ¶13(e))</w:t>
      </w:r>
    </w:p>
    <w:p w14:paraId="2C8329B1" w14:textId="77777777" w:rsidR="003D2464" w:rsidRDefault="003D2464" w:rsidP="003D246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frame="1"/>
          <w:lang w:val="en-GB"/>
        </w:rPr>
      </w:pPr>
      <w:r>
        <w:rPr>
          <w:bdr w:val="none" w:sz="0" w:space="0" w:color="auto" w:frame="1"/>
          <w:lang w:val="en-GB"/>
        </w:rPr>
        <w:t>States should:</w:t>
      </w:r>
    </w:p>
    <w:p w14:paraId="3EE32419"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en-GB"/>
        </w:rPr>
      </w:pPr>
      <w:r>
        <w:rPr>
          <w:color w:val="000000"/>
          <w:szCs w:val="27"/>
        </w:rPr>
        <w:t xml:space="preserve">Comply with their human rights obligations </w:t>
      </w:r>
      <w:commentRangeStart w:id="7"/>
      <w:r>
        <w:rPr>
          <w:rFonts w:eastAsia="Times New Roman"/>
          <w:color w:val="000000"/>
        </w:rPr>
        <w:t xml:space="preserve">when considering, developing or applying national cybersecurity policies or legislation or when </w:t>
      </w:r>
      <w:commentRangeEnd w:id="7"/>
      <w:r>
        <w:rPr>
          <w:rStyle w:val="CommentReference"/>
          <w:rFonts w:asciiTheme="minorHAnsi" w:eastAsiaTheme="minorHAnsi" w:hAnsiTheme="minorHAnsi" w:cstheme="minorBidi"/>
          <w:lang w:val="en-CA"/>
        </w:rPr>
        <w:commentReference w:id="7"/>
      </w:r>
      <w:r>
        <w:rPr>
          <w:rFonts w:eastAsia="Times New Roman"/>
          <w:color w:val="000000"/>
        </w:rPr>
        <w:t>designing and putting into place cyber security related initiatives or structures.</w:t>
      </w:r>
    </w:p>
    <w:p w14:paraId="2AECA0C9"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iCs/>
          <w:sz w:val="24"/>
          <w:szCs w:val="24"/>
          <w:lang w:val="en-GB"/>
        </w:rPr>
      </w:pPr>
      <w:r>
        <w:rPr>
          <w:rFonts w:ascii="Times New Roman" w:hAnsi="Times New Roman" w:cs="Times New Roman"/>
          <w:sz w:val="24"/>
          <w:szCs w:val="24"/>
          <w:lang w:val="en-GB"/>
        </w:rPr>
        <w:t>A State should not conduct or knowingly support ICT activity contrary to its obligations under international law that intentionally damages critical infrastructure or otherwise impairs the use and operation of critical infrastructure to provide services to the public (2015 ¶13(f)).</w:t>
      </w:r>
      <w:r>
        <w:rPr>
          <w:rFonts w:ascii="Times New Roman" w:hAnsi="Times New Roman" w:cs="Times New Roman"/>
          <w:iCs/>
          <w:sz w:val="24"/>
          <w:szCs w:val="24"/>
          <w:lang w:val="en-GB"/>
        </w:rPr>
        <w:t xml:space="preserve"> </w:t>
      </w:r>
    </w:p>
    <w:p w14:paraId="52E1005B" w14:textId="77777777" w:rsidR="003D2464" w:rsidRDefault="003D2464" w:rsidP="003D246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States should:</w:t>
      </w:r>
    </w:p>
    <w:p w14:paraId="1CD78BE3" w14:textId="77777777" w:rsidR="003D2464" w:rsidRDefault="003D2464" w:rsidP="003D2464">
      <w:pPr>
        <w:pStyle w:val="Defaul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hAnsi="Times New Roman" w:cs="Times New Roman"/>
          <w:sz w:val="24"/>
          <w:szCs w:val="24"/>
          <w:lang w:val="en-GB"/>
        </w:rPr>
      </w:pPr>
      <w:r>
        <w:rPr>
          <w:rFonts w:ascii="Times New Roman" w:hAnsi="Times New Roman" w:cs="Times New Roman"/>
          <w:iCs/>
          <w:sz w:val="24"/>
          <w:szCs w:val="24"/>
          <w:lang w:val="en-GB"/>
        </w:rPr>
        <w:t xml:space="preserve">Consider the potentially harmful effects of their ICT activities on the general functionality of global ICT systems and the essential services that rely on them. </w:t>
      </w:r>
    </w:p>
    <w:p w14:paraId="141E3B5D" w14:textId="77777777" w:rsidR="003D2464" w:rsidRDefault="003D2464" w:rsidP="003D2464">
      <w:pPr>
        <w:pStyle w:val="Default"/>
        <w:spacing w:before="120" w:after="120"/>
        <w:jc w:val="both"/>
        <w:rPr>
          <w:rFonts w:ascii="Times New Roman" w:eastAsia="Times New Roman" w:hAnsi="Times New Roman" w:cs="Times New Roman"/>
          <w:i/>
          <w:sz w:val="24"/>
          <w:szCs w:val="24"/>
          <w:lang w:val="en-GB"/>
        </w:rPr>
      </w:pPr>
    </w:p>
    <w:p w14:paraId="66D82597"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eastAsia="Times New Roman" w:hAnsi="Times New Roman" w:cs="Times New Roman"/>
          <w:iCs/>
          <w:sz w:val="24"/>
          <w:szCs w:val="24"/>
          <w:lang w:val="en-GB"/>
        </w:rPr>
        <w:t>S</w:t>
      </w:r>
      <w:r>
        <w:rPr>
          <w:rFonts w:ascii="Times New Roman" w:hAnsi="Times New Roman" w:cs="Times New Roman"/>
          <w:sz w:val="24"/>
          <w:szCs w:val="24"/>
          <w:lang w:val="en-GB"/>
        </w:rPr>
        <w:t>tates should take appropriate measures to protect their critical infrastructure from ICT threats, taking into account General Assembly resolution 58/199 on the creation of a global culture of cybersecurity and the protection of critical information infrastructures, and other relevant resolutions (2015 ¶</w:t>
      </w:r>
      <w:proofErr w:type="gramStart"/>
      <w:r>
        <w:rPr>
          <w:rFonts w:ascii="Times New Roman" w:hAnsi="Times New Roman" w:cs="Times New Roman"/>
          <w:sz w:val="24"/>
          <w:szCs w:val="24"/>
          <w:lang w:val="en-GB"/>
        </w:rPr>
        <w:t>13(</w:t>
      </w:r>
      <w:proofErr w:type="gramEnd"/>
      <w:r>
        <w:rPr>
          <w:rFonts w:ascii="Times New Roman" w:hAnsi="Times New Roman" w:cs="Times New Roman"/>
          <w:sz w:val="24"/>
          <w:szCs w:val="24"/>
          <w:lang w:val="en-GB"/>
        </w:rPr>
        <w:t>g)).</w:t>
      </w:r>
    </w:p>
    <w:p w14:paraId="0D2704A6" w14:textId="77777777" w:rsidR="003D2464" w:rsidRDefault="003D2464" w:rsidP="003D2464">
      <w:pPr>
        <w:pStyle w:val="ListParagraph"/>
        <w:spacing w:before="120" w:after="120"/>
        <w:ind w:left="2268" w:hanging="283"/>
        <w:rPr>
          <w:lang w:val="en-GB"/>
        </w:rPr>
      </w:pPr>
      <w:proofErr w:type="spellStart"/>
      <w:r>
        <w:rPr>
          <w:lang w:val="en-GB"/>
        </w:rPr>
        <w:t>i</w:t>
      </w:r>
      <w:proofErr w:type="spellEnd"/>
      <w:r>
        <w:rPr>
          <w:lang w:val="en-GB"/>
        </w:rPr>
        <w:t>.</w:t>
      </w:r>
      <w:r>
        <w:rPr>
          <w:lang w:val="en-GB"/>
        </w:rPr>
        <w:tab/>
        <w:t>In order to contribute to a global culture of cybersecurity, States should</w:t>
      </w:r>
      <w:r>
        <w:rPr>
          <w:i/>
          <w:lang w:val="en-GB"/>
        </w:rPr>
        <w:t xml:space="preserve"> </w:t>
      </w:r>
      <w:r>
        <w:rPr>
          <w:lang w:val="en-GB"/>
        </w:rPr>
        <w:t>consider, as appropriate, sharing information on best practices for protecting critical infrastructures, including all elements identified in this resolution and on:</w:t>
      </w:r>
    </w:p>
    <w:p w14:paraId="2CEA1246"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 xml:space="preserve">Baseline security requirements; </w:t>
      </w:r>
    </w:p>
    <w:p w14:paraId="2ACBC339"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Incident notification procedures;</w:t>
      </w:r>
    </w:p>
    <w:p w14:paraId="660D3999"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Incident handling tools and methodologies;</w:t>
      </w:r>
    </w:p>
    <w:p w14:paraId="24677EE5"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Emergency resilience; and</w:t>
      </w:r>
    </w:p>
    <w:p w14:paraId="317BE8A4" w14:textId="77777777" w:rsidR="003D2464" w:rsidRDefault="003D2464" w:rsidP="003D246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 xml:space="preserve">Lessons learned from previous incidents. </w:t>
      </w:r>
    </w:p>
    <w:p w14:paraId="7998A00F" w14:textId="77777777" w:rsidR="003D2464" w:rsidRDefault="003D2464" w:rsidP="003D2464">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lastRenderedPageBreak/>
        <w:t>Capacity-building and other measures to build a global culture of cybersecurity</w:t>
      </w:r>
      <w:r>
        <w:rPr>
          <w:sz w:val="25"/>
          <w:szCs w:val="25"/>
        </w:rPr>
        <w:t xml:space="preserve"> </w:t>
      </w:r>
      <w:r>
        <w:t xml:space="preserve">should be developed inclusively and seek to address the gender dimensions of cyber security. </w:t>
      </w:r>
    </w:p>
    <w:p w14:paraId="6F416066" w14:textId="77777777" w:rsidR="003D2464" w:rsidRDefault="003D2464" w:rsidP="003D2464">
      <w:pPr>
        <w:pStyle w:val="ListParagraph"/>
        <w:tabs>
          <w:tab w:val="left" w:pos="2268"/>
        </w:tabs>
        <w:spacing w:before="120" w:after="120"/>
        <w:ind w:left="2160"/>
        <w:jc w:val="both"/>
        <w:rPr>
          <w:lang w:val="en-GB"/>
        </w:rPr>
      </w:pPr>
    </w:p>
    <w:p w14:paraId="3A1C1A1F" w14:textId="77777777" w:rsidR="003D2464" w:rsidRDefault="003D2464" w:rsidP="003D2464">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before="120" w:after="120"/>
        <w:jc w:val="both"/>
        <w:rPr>
          <w:lang w:val="en-GB"/>
        </w:rPr>
      </w:pPr>
      <w:r>
        <w:rPr>
          <w:lang w:val="en-GB"/>
        </w:rPr>
        <w:t>Given the varied and distributed nature of critical infrastructure ownership, States should, as appropriate, and in consultation with the relevant stakeholders, promote minimum standards for the security of critical infrastructures and promote cooperation with the private sector, academia and the technical community in critical infrastructure protection efforts.</w:t>
      </w:r>
    </w:p>
    <w:p w14:paraId="6322F4D8" w14:textId="77777777" w:rsidR="003D2464" w:rsidRDefault="003D2464" w:rsidP="003D2464">
      <w:pPr>
        <w:pStyle w:val="ListParagraph"/>
        <w:tabs>
          <w:tab w:val="left" w:pos="2268"/>
        </w:tabs>
        <w:spacing w:before="120" w:after="120"/>
        <w:ind w:left="2160"/>
        <w:jc w:val="both"/>
        <w:rPr>
          <w:lang w:val="en-GB"/>
        </w:rPr>
      </w:pPr>
    </w:p>
    <w:p w14:paraId="4F17FDA6" w14:textId="77777777" w:rsidR="003D2464" w:rsidRDefault="003D2464" w:rsidP="003D2464">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before="120" w:after="120"/>
        <w:jc w:val="both"/>
        <w:rPr>
          <w:lang w:val="en-GB"/>
        </w:rPr>
      </w:pPr>
      <w:r>
        <w:rPr>
          <w:lang w:val="en-GB"/>
        </w:rPr>
        <w:t xml:space="preserve">States </w:t>
      </w:r>
      <w:proofErr w:type="gramStart"/>
      <w:r>
        <w:rPr>
          <w:lang w:val="en-GB"/>
        </w:rPr>
        <w:t>should, as appropriate, participate</w:t>
      </w:r>
      <w:proofErr w:type="gramEnd"/>
      <w:r>
        <w:rPr>
          <w:lang w:val="en-GB"/>
        </w:rPr>
        <w:t xml:space="preserve"> in voluntary risk assessment and business continuity (resilience, recovery and contingency) planning initiatives involving other stakeholders and aimed at enhancing the security and resilience of </w:t>
      </w:r>
      <w:commentRangeStart w:id="8"/>
      <w:r>
        <w:t>critical infrastructure that provides services regionally or internationally</w:t>
      </w:r>
      <w:commentRangeEnd w:id="8"/>
      <w:r>
        <w:rPr>
          <w:rStyle w:val="CommentReference"/>
          <w:rFonts w:asciiTheme="minorHAnsi" w:eastAsiaTheme="minorHAnsi" w:hAnsiTheme="minorHAnsi" w:cstheme="minorBidi"/>
          <w:bdr w:val="none" w:sz="0" w:space="0" w:color="auto"/>
          <w:lang w:val="en-CA"/>
        </w:rPr>
        <w:commentReference w:id="8"/>
      </w:r>
      <w:r>
        <w:rPr>
          <w:lang w:val="en-GB"/>
        </w:rPr>
        <w:t xml:space="preserve"> against existing and emerging threats. </w:t>
      </w:r>
    </w:p>
    <w:p w14:paraId="666ABAD2" w14:textId="77777777" w:rsidR="003D2464" w:rsidRDefault="003D2464" w:rsidP="003D2464">
      <w:pPr>
        <w:pStyle w:val="ListParagraph"/>
        <w:rPr>
          <w:lang w:val="en-GB"/>
        </w:rPr>
      </w:pPr>
    </w:p>
    <w:p w14:paraId="278DEB40" w14:textId="77777777" w:rsidR="003D2464" w:rsidRDefault="003D2464" w:rsidP="003D2464">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before="120" w:after="120"/>
        <w:jc w:val="both"/>
        <w:rPr>
          <w:lang w:val="en-GB"/>
        </w:rPr>
      </w:pPr>
      <w:commentRangeStart w:id="9"/>
      <w:r>
        <w:rPr>
          <w:lang w:val="en-GB"/>
        </w:rPr>
        <w:t>In providing guidance for the implementation of norms  (f) and (g), States note that highlighting particular sectors as critical infrastructure is not intended to be an exhaustive list, and does not impact on the national designation, or not, of any other sector, nor does it implicitly condone malicious activity against a category not specified.</w:t>
      </w:r>
    </w:p>
    <w:p w14:paraId="0A86AB61" w14:textId="77777777" w:rsidR="003D2464" w:rsidRDefault="003D2464" w:rsidP="003D2464">
      <w:pPr>
        <w:pStyle w:val="ListParagraph"/>
        <w:rPr>
          <w:lang w:val="en-GB"/>
        </w:rPr>
      </w:pPr>
    </w:p>
    <w:p w14:paraId="6B695365" w14:textId="77777777" w:rsidR="003D2464" w:rsidRDefault="003D2464" w:rsidP="003D2464">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before="120" w:after="120"/>
        <w:jc w:val="both"/>
        <w:rPr>
          <w:lang w:val="en-GB"/>
        </w:rPr>
      </w:pPr>
      <w:r>
        <w:rPr>
          <w:lang w:val="en-GB"/>
        </w:rPr>
        <w:t>The OEWG developed its report in the context of the COVID-19 pandemic. In these circumstances, the OEWG underscored that all states considered medical services and medical facilities to be critical infrastructure for the purposes of norms (f) and (g).</w:t>
      </w:r>
      <w:commentRangeEnd w:id="9"/>
      <w:r>
        <w:rPr>
          <w:rStyle w:val="CommentReference"/>
          <w:bdr w:val="none" w:sz="0" w:space="0" w:color="auto" w:frame="1"/>
        </w:rPr>
        <w:commentReference w:id="9"/>
      </w:r>
    </w:p>
    <w:p w14:paraId="42B13B82" w14:textId="77777777" w:rsidR="003D2464" w:rsidRDefault="003D2464" w:rsidP="003D2464">
      <w:pPr>
        <w:pStyle w:val="Default"/>
        <w:spacing w:before="120" w:after="120"/>
        <w:jc w:val="both"/>
        <w:rPr>
          <w:rFonts w:ascii="Times New Roman" w:eastAsia="Times New Roman" w:hAnsi="Times New Roman" w:cs="Times New Roman"/>
          <w:sz w:val="24"/>
          <w:szCs w:val="24"/>
          <w:lang w:val="en-GB"/>
        </w:rPr>
      </w:pPr>
    </w:p>
    <w:p w14:paraId="2444C0C5"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iCs/>
          <w:sz w:val="24"/>
          <w:szCs w:val="24"/>
          <w:lang w:val="en-GB"/>
        </w:rPr>
      </w:pPr>
      <w:r>
        <w:rPr>
          <w:rFonts w:ascii="Times New Roman" w:hAnsi="Times New Roman" w:cs="Times New Roman"/>
          <w:sz w:val="24"/>
          <w:szCs w:val="24"/>
          <w:lang w:val="en-GB"/>
        </w:rPr>
        <w:t>States should respond to appropriate requests for assistance by another State whose critical infrastructure is subject to malicious ICT acts. States should also respond to appropriate requests to mitigate malicious ICT activity aimed at the critical infrastructure of another State emanating from their territory, taking into account due regard for sovereignty (2015 ¶13(h)).</w:t>
      </w:r>
    </w:p>
    <w:p w14:paraId="7CA41789" w14:textId="77777777" w:rsidR="003D2464" w:rsidRDefault="003D2464" w:rsidP="003D246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color w:val="000000"/>
          <w:lang w:val="en-GB" w:eastAsia="en-GB"/>
        </w:rPr>
        <w:t>Implementing</w:t>
      </w:r>
      <w:r>
        <w:rPr>
          <w:lang w:val="en-GB"/>
        </w:rPr>
        <w:t xml:space="preserve"> this norm involves consideration of appropriate requests for assistance and consideration of the nature of assistance that </w:t>
      </w:r>
      <w:proofErr w:type="gramStart"/>
      <w:r>
        <w:rPr>
          <w:lang w:val="en-GB"/>
        </w:rPr>
        <w:t>can be offered</w:t>
      </w:r>
      <w:proofErr w:type="gramEnd"/>
      <w:r>
        <w:rPr>
          <w:lang w:val="en-GB"/>
        </w:rPr>
        <w:t xml:space="preserve"> in a timely manner. States receiving an appropriate request for assistance following an ICT incident should consider: </w:t>
      </w:r>
    </w:p>
    <w:p w14:paraId="3E27D808" w14:textId="77777777" w:rsidR="003D2464" w:rsidRDefault="003D2464" w:rsidP="003D2464">
      <w:pPr>
        <w:pStyle w:val="Defaul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Acknowledging receipt of the request via the relevant national point of contact;</w:t>
      </w:r>
    </w:p>
    <w:p w14:paraId="19978F17" w14:textId="77777777" w:rsidR="003D2464" w:rsidRDefault="003D2464" w:rsidP="003D2464">
      <w:pPr>
        <w:pStyle w:val="Defaul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Determining, in a timely fashion, whether it has the capacity and resources to provide the assistance requested and respond; </w:t>
      </w:r>
    </w:p>
    <w:p w14:paraId="66591336" w14:textId="77777777" w:rsidR="003D2464" w:rsidRDefault="003D2464" w:rsidP="003D2464">
      <w:pPr>
        <w:pStyle w:val="Defaul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In its initial response, indicating the nature, scope and terms of the assistance that might be provided, including a timeframe for its delivery; and</w:t>
      </w:r>
    </w:p>
    <w:p w14:paraId="0242DEC1" w14:textId="77777777" w:rsidR="003D2464" w:rsidRDefault="003D2464" w:rsidP="003D2464">
      <w:pPr>
        <w:pStyle w:val="Defaul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lastRenderedPageBreak/>
        <w:t xml:space="preserve">In the </w:t>
      </w:r>
      <w:proofErr w:type="gramStart"/>
      <w:r>
        <w:rPr>
          <w:rFonts w:ascii="Times New Roman" w:hAnsi="Times New Roman" w:cs="Times New Roman"/>
          <w:sz w:val="24"/>
          <w:szCs w:val="24"/>
          <w:lang w:val="en-GB"/>
        </w:rPr>
        <w:t>event</w:t>
      </w:r>
      <w:proofErr w:type="gramEnd"/>
      <w:r>
        <w:rPr>
          <w:rFonts w:ascii="Times New Roman" w:hAnsi="Times New Roman" w:cs="Times New Roman"/>
          <w:sz w:val="24"/>
          <w:szCs w:val="24"/>
          <w:lang w:val="en-GB"/>
        </w:rPr>
        <w:t xml:space="preserve"> that assistance is agreed upon, promptly providing the arranged assistance.</w:t>
      </w:r>
    </w:p>
    <w:p w14:paraId="5A684750" w14:textId="77777777" w:rsidR="003D2464" w:rsidRDefault="003D2464" w:rsidP="003D246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color w:val="000000"/>
          <w:lang w:val="en-GB" w:eastAsia="en-GB"/>
        </w:rPr>
        <w:t>Implementation</w:t>
      </w:r>
      <w:r>
        <w:rPr>
          <w:lang w:val="en-GB"/>
        </w:rPr>
        <w:t xml:space="preserve"> of this norm </w:t>
      </w:r>
      <w:proofErr w:type="gramStart"/>
      <w:r>
        <w:rPr>
          <w:lang w:val="en-GB"/>
        </w:rPr>
        <w:t>would be further enabled</w:t>
      </w:r>
      <w:proofErr w:type="gramEnd"/>
      <w:r>
        <w:rPr>
          <w:lang w:val="en-GB"/>
        </w:rPr>
        <w:t xml:space="preserve"> by the prior existence of national structures and mechanisms, </w:t>
      </w:r>
      <w:r>
        <w:t>including</w:t>
      </w:r>
      <w:r>
        <w:rPr>
          <w:lang w:val="en-GB"/>
        </w:rPr>
        <w:t xml:space="preserve"> a national point of contact, templates for assistance requests and confirmation of the assistance to be provided, and through targeted capacity-building and technical assistance. Bilateral and multilateral cooperation initiatives, international and regional organizations and fora can play a role in facilitating their development.</w:t>
      </w:r>
    </w:p>
    <w:p w14:paraId="6D84A08D" w14:textId="77777777" w:rsidR="003D2464" w:rsidRDefault="003D2464" w:rsidP="003D2464">
      <w:pPr>
        <w:tabs>
          <w:tab w:val="left" w:pos="2268"/>
        </w:tabs>
        <w:spacing w:before="120" w:after="120"/>
      </w:pPr>
    </w:p>
    <w:p w14:paraId="141045EC" w14:textId="77777777" w:rsidR="003D2464" w:rsidRDefault="003D2464" w:rsidP="003D2464">
      <w:pPr>
        <w:pStyle w:val="Default"/>
        <w:numPr>
          <w:ilvl w:val="1"/>
          <w:numId w:val="15"/>
        </w:numPr>
        <w:pBdr>
          <w:top w:val="single" w:sz="4" w:space="1" w:color="auto"/>
          <w:left w:val="single" w:sz="4" w:space="0"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States should take reasonable steps to ensure the integrity of the supply chain so that end users can have confidence in the security of ICT products. States should seek to prevent the proliferation of malicious ICT tools and techniques and the use of harmful hidden functions (2015 ¶</w:t>
      </w:r>
      <w:proofErr w:type="gramStart"/>
      <w:r>
        <w:rPr>
          <w:rFonts w:ascii="Times New Roman" w:hAnsi="Times New Roman" w:cs="Times New Roman"/>
          <w:sz w:val="24"/>
          <w:szCs w:val="24"/>
          <w:lang w:val="en-GB"/>
        </w:rPr>
        <w:t>13(</w:t>
      </w:r>
      <w:proofErr w:type="spellStart"/>
      <w:proofErr w:type="gramEnd"/>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w:t>
      </w:r>
      <w:r>
        <w:rPr>
          <w:rFonts w:ascii="Times New Roman" w:hAnsi="Times New Roman" w:cs="Times New Roman"/>
          <w:iCs/>
          <w:sz w:val="24"/>
          <w:szCs w:val="24"/>
          <w:lang w:val="en-GB"/>
        </w:rPr>
        <w:t xml:space="preserve"> </w:t>
      </w:r>
    </w:p>
    <w:p w14:paraId="4F573C96" w14:textId="77777777" w:rsidR="003D2464" w:rsidRDefault="003D2464" w:rsidP="003D246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lang w:val="en-GB"/>
        </w:rPr>
      </w:pPr>
      <w:r>
        <w:rPr>
          <w:color w:val="000000"/>
          <w:lang w:val="en-GB" w:eastAsia="en-GB"/>
        </w:rPr>
        <w:t>To</w:t>
      </w:r>
      <w:r>
        <w:rPr>
          <w:lang w:val="en-GB"/>
        </w:rPr>
        <w:t xml:space="preserve"> implement this norm, States should:</w:t>
      </w:r>
    </w:p>
    <w:p w14:paraId="60BC15C4" w14:textId="77777777" w:rsidR="003D2464" w:rsidRDefault="003D2464" w:rsidP="003D246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35" w:hanging="425"/>
        <w:jc w:val="both"/>
        <w:rPr>
          <w:rFonts w:eastAsia="Times New Roman"/>
          <w:lang w:val="en-GB"/>
        </w:rPr>
      </w:pPr>
      <w:r>
        <w:t xml:space="preserve">Take steps, including through existing fora, to prevent the proliferation of malicious ICT tools and techniques. In doing so, States should encourage the legitimate activities of research communities, academia, industry, law enforcement, </w:t>
      </w:r>
      <w:r>
        <w:rPr>
          <w:rFonts w:eastAsia="Times New Roman"/>
        </w:rPr>
        <w:t>CERTs/ CSIRTs and other cyber protection agencies</w:t>
      </w:r>
      <w:r>
        <w:t xml:space="preserve"> in ensuring the security of their ICT systems. </w:t>
      </w:r>
    </w:p>
    <w:p w14:paraId="2A9BE0CA" w14:textId="77777777" w:rsidR="003D2464" w:rsidRPr="00C93282" w:rsidRDefault="003D2464" w:rsidP="003D246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35" w:hanging="425"/>
        <w:jc w:val="both"/>
        <w:rPr>
          <w:rFonts w:eastAsia="Times New Roman"/>
          <w:lang w:val="en-GB"/>
        </w:rPr>
      </w:pPr>
      <w:r w:rsidRPr="00C93282">
        <w:t xml:space="preserve">Member States </w:t>
      </w:r>
      <w:proofErr w:type="gramStart"/>
      <w:r w:rsidRPr="00C93282">
        <w:t>should be urged</w:t>
      </w:r>
      <w:proofErr w:type="gramEnd"/>
      <w:r w:rsidRPr="00C93282">
        <w:t xml:space="preserve"> to consider the exchange of information on ICTs related vulnerabilities and/or harmful hidden functions in ICT </w:t>
      </w:r>
      <w:commentRangeStart w:id="10"/>
      <w:r w:rsidRPr="00C93282">
        <w:t>products</w:t>
      </w:r>
      <w:commentRangeEnd w:id="10"/>
      <w:r w:rsidRPr="00C93282">
        <w:rPr>
          <w:rStyle w:val="CommentReference"/>
          <w:bdr w:val="none" w:sz="0" w:space="0" w:color="auto" w:frame="1"/>
        </w:rPr>
        <w:commentReference w:id="10"/>
      </w:r>
      <w:r w:rsidRPr="00C93282">
        <w:t>.</w:t>
      </w:r>
    </w:p>
    <w:p w14:paraId="390B5E08" w14:textId="77777777" w:rsidR="003D2464" w:rsidRDefault="003D2464" w:rsidP="003D2464">
      <w:pPr>
        <w:spacing w:before="120" w:after="120"/>
        <w:jc w:val="both"/>
        <w:rPr>
          <w:rFonts w:eastAsia="Times New Roman"/>
        </w:rPr>
      </w:pPr>
    </w:p>
    <w:p w14:paraId="042318AD"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States should encourage responsible reporting of ICT vulnerabilities and share information on available remedies to such vulnerabilities to limit and possibly eliminate potential threats to ICTs and ICT-dependent infrastructure (2015 ¶</w:t>
      </w:r>
      <w:proofErr w:type="gramStart"/>
      <w:r>
        <w:rPr>
          <w:rFonts w:ascii="Times New Roman" w:hAnsi="Times New Roman" w:cs="Times New Roman"/>
          <w:sz w:val="24"/>
          <w:szCs w:val="24"/>
          <w:lang w:val="en-GB"/>
        </w:rPr>
        <w:t>13(</w:t>
      </w:r>
      <w:proofErr w:type="gramEnd"/>
      <w:r>
        <w:rPr>
          <w:rFonts w:ascii="Times New Roman" w:hAnsi="Times New Roman" w:cs="Times New Roman"/>
          <w:sz w:val="24"/>
          <w:szCs w:val="24"/>
          <w:lang w:val="en-GB"/>
        </w:rPr>
        <w:t>j)).</w:t>
      </w:r>
    </w:p>
    <w:p w14:paraId="51764810" w14:textId="77777777" w:rsidR="003D2464" w:rsidRDefault="003D2464" w:rsidP="003D246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n-GB"/>
        </w:rPr>
      </w:pPr>
      <w:r>
        <w:rPr>
          <w:lang w:val="en-GB"/>
        </w:rPr>
        <w:t>To implement this norm, States should:</w:t>
      </w:r>
    </w:p>
    <w:p w14:paraId="41B775E3" w14:textId="77777777" w:rsidR="003D2464" w:rsidRDefault="003D2464" w:rsidP="003D2464">
      <w:pPr>
        <w:pStyle w:val="Defaul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74" w:hanging="357"/>
        <w:jc w:val="both"/>
        <w:rPr>
          <w:rFonts w:ascii="Times New Roman" w:hAnsi="Times New Roman" w:cs="Times New Roman"/>
          <w:sz w:val="24"/>
          <w:szCs w:val="24"/>
          <w:lang w:val="en-GB"/>
        </w:rPr>
      </w:pPr>
      <w:r>
        <w:rPr>
          <w:rFonts w:ascii="Times New Roman" w:hAnsi="Times New Roman" w:cs="Times New Roman"/>
          <w:sz w:val="24"/>
          <w:szCs w:val="24"/>
          <w:lang w:val="en-GB"/>
        </w:rPr>
        <w:t>Establish national structures that enable a responsible reporting and handling of ICT vulnerabilities;</w:t>
      </w:r>
    </w:p>
    <w:p w14:paraId="36326AC5" w14:textId="77777777" w:rsidR="003D2464" w:rsidRDefault="003D2464" w:rsidP="003D2464">
      <w:pPr>
        <w:pStyle w:val="Defaul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74" w:hanging="357"/>
        <w:jc w:val="both"/>
        <w:rPr>
          <w:rFonts w:ascii="Times New Roman" w:hAnsi="Times New Roman" w:cs="Times New Roman"/>
          <w:sz w:val="24"/>
          <w:szCs w:val="24"/>
          <w:lang w:val="en-GB"/>
        </w:rPr>
      </w:pPr>
      <w:r>
        <w:rPr>
          <w:rFonts w:ascii="Times New Roman" w:hAnsi="Times New Roman" w:cs="Times New Roman"/>
          <w:sz w:val="24"/>
          <w:szCs w:val="24"/>
          <w:lang w:val="en-GB"/>
        </w:rPr>
        <w:t>Encourage appropriate coordination mechanisms amongst public and private sector entities;</w:t>
      </w:r>
    </w:p>
    <w:p w14:paraId="4736D139" w14:textId="77777777" w:rsidR="003D2464" w:rsidRDefault="003D2464" w:rsidP="003D2464">
      <w:pPr>
        <w:pStyle w:val="Default"/>
        <w:spacing w:before="120" w:after="120"/>
        <w:jc w:val="both"/>
        <w:rPr>
          <w:rFonts w:ascii="Times New Roman" w:hAnsi="Times New Roman" w:cs="Times New Roman"/>
          <w:i/>
          <w:sz w:val="24"/>
          <w:szCs w:val="24"/>
          <w:lang w:val="en-GB"/>
        </w:rPr>
      </w:pPr>
    </w:p>
    <w:p w14:paraId="1D054064" w14:textId="77777777" w:rsidR="003D2464" w:rsidRDefault="003D2464" w:rsidP="003D246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i/>
          <w:lang w:val="en-GB"/>
        </w:rPr>
      </w:pPr>
      <w:proofErr w:type="gramStart"/>
      <w:r>
        <w:rPr>
          <w:lang w:val="en-GB"/>
        </w:rPr>
        <w:t>In addition, and to avoid misunderstandings or misinterpretations, including those stemming from non-disclosure of information about potentially harmful ICT vulnerabilities, States are encouraged to share, as appropriate, to the widest possible extent, technical information on serious ICT incidents, by using existing CERT to CERT coordination mechanisms, as well as mechanisms put in place by regional organizations (such as networks of points of contact).</w:t>
      </w:r>
      <w:proofErr w:type="gramEnd"/>
      <w:r>
        <w:rPr>
          <w:lang w:val="en-GB"/>
        </w:rPr>
        <w:t xml:space="preserve"> States should ensure that such information </w:t>
      </w:r>
      <w:proofErr w:type="gramStart"/>
      <w:r>
        <w:rPr>
          <w:lang w:val="en-GB"/>
        </w:rPr>
        <w:lastRenderedPageBreak/>
        <w:t>is handled</w:t>
      </w:r>
      <w:proofErr w:type="gramEnd"/>
      <w:r>
        <w:rPr>
          <w:lang w:val="en-GB"/>
        </w:rPr>
        <w:t xml:space="preserve"> responsibly and in coordination with other stakeholders, as appropriate.</w:t>
      </w:r>
      <w:r>
        <w:rPr>
          <w:i/>
          <w:lang w:val="en-GB"/>
        </w:rPr>
        <w:t xml:space="preserve"> </w:t>
      </w:r>
    </w:p>
    <w:p w14:paraId="6D83F725" w14:textId="77777777" w:rsidR="003D2464" w:rsidRDefault="003D2464" w:rsidP="003D2464"/>
    <w:p w14:paraId="7AAD36D5" w14:textId="77777777" w:rsidR="003D2464" w:rsidRDefault="003D2464" w:rsidP="003D2464">
      <w:pPr>
        <w:pStyle w:val="Default"/>
        <w:numPr>
          <w:ilvl w:val="1"/>
          <w:numId w:val="15"/>
        </w:num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jc w:val="both"/>
        <w:rPr>
          <w:rFonts w:ascii="Times New Roman" w:hAnsi="Times New Roman" w:cs="Times New Roman"/>
          <w:sz w:val="24"/>
          <w:szCs w:val="24"/>
          <w:lang w:val="en-GB"/>
        </w:rPr>
      </w:pPr>
      <w:r>
        <w:rPr>
          <w:rFonts w:ascii="Times New Roman" w:hAnsi="Times New Roman" w:cs="Times New Roman"/>
          <w:sz w:val="24"/>
          <w:szCs w:val="24"/>
          <w:lang w:val="en-GB"/>
        </w:rPr>
        <w:t>States should not conduct or knowingly support activity to harm the information systems of the authorized emergency response teams (sometimes known as computer emergency response teams or cybersecurity incident response teams) of another State. A State should not use authorized emergency response teams to engage in malicious international activity. (2015 ¶13k)).</w:t>
      </w:r>
    </w:p>
    <w:p w14:paraId="621D74E6" w14:textId="77777777" w:rsidR="003D2464" w:rsidRDefault="003D2464" w:rsidP="003D2464"/>
    <w:p w14:paraId="78E4BA0D" w14:textId="77777777" w:rsidR="00547F4B" w:rsidRDefault="00547F4B" w:rsidP="00547F4B"/>
    <w:p w14:paraId="34DCFC28" w14:textId="2583CF6D" w:rsidR="00547F4B" w:rsidRPr="009B7C21" w:rsidRDefault="009B7C21" w:rsidP="00547F4B">
      <w:pPr>
        <w:rPr>
          <w:b/>
        </w:rPr>
      </w:pPr>
      <w:r w:rsidRPr="009B7C21">
        <w:rPr>
          <w:i/>
        </w:rPr>
        <w:t xml:space="preserve">Para </w:t>
      </w:r>
      <w:r w:rsidR="00FB65A7">
        <w:rPr>
          <w:i/>
        </w:rPr>
        <w:t>42</w:t>
      </w:r>
      <w:r w:rsidRPr="009B7C21">
        <w:rPr>
          <w:i/>
        </w:rPr>
        <w:t>:</w:t>
      </w:r>
      <w:r>
        <w:rPr>
          <w:b/>
        </w:rPr>
        <w:t xml:space="preserve"> </w:t>
      </w:r>
      <w:r>
        <w:rPr>
          <w:i/>
        </w:rPr>
        <w:t>suggest adding at the end:</w:t>
      </w:r>
    </w:p>
    <w:p w14:paraId="7B5A2158" w14:textId="4C3F257A" w:rsidR="009B7C21" w:rsidRDefault="00524A2B" w:rsidP="00B92BDD">
      <w:pPr>
        <w:spacing w:after="0" w:line="240" w:lineRule="auto"/>
        <w:rPr>
          <w:rFonts w:ascii="Times New Roman" w:hAnsi="Times New Roman" w:cs="Times New Roman"/>
          <w:sz w:val="24"/>
          <w:szCs w:val="24"/>
          <w:lang w:eastAsia="en-CA"/>
        </w:rPr>
      </w:pPr>
      <w:r>
        <w:t>Other States highlighted their view that, if adhered to, existing international law and agreed norms provide a robust framework to address the threats posed malicious cyber activity by States and to guide State behaviour in cyberspace. In these States’ opinion, the focus should be on providing guidance to States on the applicability of international law and the implementation of agreed norms.</w:t>
      </w:r>
      <w:r w:rsidRPr="006E5284">
        <w:t xml:space="preserve"> </w:t>
      </w:r>
      <w:r w:rsidR="009B7C21">
        <w:t>These States also opined that defining “</w:t>
      </w:r>
      <w:proofErr w:type="spellStart"/>
      <w:r w:rsidR="00FB65A7">
        <w:t>transborder</w:t>
      </w:r>
      <w:proofErr w:type="spellEnd"/>
      <w:r w:rsidR="009B7C21">
        <w:t xml:space="preserve"> critical information infrastructure” would be a difficult task and States would have trouble agreeing on what is covered by this term</w:t>
      </w:r>
      <w:r w:rsidR="006C6044">
        <w:t xml:space="preserve"> for a number of reasons, including</w:t>
      </w:r>
      <w:r w:rsidR="00B84EF7">
        <w:t xml:space="preserve"> that technological development</w:t>
      </w:r>
      <w:r w:rsidR="006C6044">
        <w:t xml:space="preserve"> would likely require the definition to be updated regularly</w:t>
      </w:r>
      <w:r w:rsidR="009B7C21">
        <w:t>.</w:t>
      </w:r>
      <w:r w:rsidR="00CC490C">
        <w:t xml:space="preserve"> </w:t>
      </w:r>
      <w:r w:rsidR="00CC490C" w:rsidRPr="00B92BDD">
        <w:t xml:space="preserve">Furthermore, </w:t>
      </w:r>
      <w:r w:rsidR="00B92BDD">
        <w:t>there was a concern that defining what infrastructure is “critical</w:t>
      </w:r>
      <w:r w:rsidR="00B92BDD" w:rsidRPr="00B92BDD">
        <w:t>”</w:t>
      </w:r>
      <w:r w:rsidR="00B92BDD">
        <w:t xml:space="preserve"> </w:t>
      </w:r>
      <w:r w:rsidR="006C6044">
        <w:t>might lead some actors to conclude that it is acceptable to</w:t>
      </w:r>
      <w:r w:rsidR="00CC490C" w:rsidRPr="00B92BDD">
        <w:t xml:space="preserve"> </w:t>
      </w:r>
      <w:r w:rsidR="00B92BDD">
        <w:t>undertake operations</w:t>
      </w:r>
      <w:r w:rsidR="00CC490C" w:rsidRPr="00B92BDD">
        <w:t xml:space="preserve"> against assets and infrastructure that are outside the scope of the definition.</w:t>
      </w:r>
      <w:r w:rsidR="00CC490C">
        <w:t xml:space="preserve"> </w:t>
      </w:r>
    </w:p>
    <w:p w14:paraId="3A84A648" w14:textId="77777777" w:rsidR="00B92BDD" w:rsidRPr="00B92BDD" w:rsidRDefault="00B92BDD" w:rsidP="00B92BDD">
      <w:pPr>
        <w:spacing w:after="0" w:line="240" w:lineRule="auto"/>
        <w:rPr>
          <w:rFonts w:ascii="Times New Roman" w:hAnsi="Times New Roman" w:cs="Times New Roman"/>
          <w:sz w:val="24"/>
          <w:szCs w:val="24"/>
          <w:lang w:eastAsia="en-CA"/>
        </w:rPr>
      </w:pPr>
    </w:p>
    <w:p w14:paraId="58597401" w14:textId="299011DF" w:rsidR="009B7C21" w:rsidRPr="009B7C21" w:rsidRDefault="009B7C21" w:rsidP="00547F4B">
      <w:pPr>
        <w:rPr>
          <w:b/>
        </w:rPr>
      </w:pPr>
      <w:r w:rsidRPr="009B7C21">
        <w:rPr>
          <w:i/>
        </w:rPr>
        <w:t xml:space="preserve">Para </w:t>
      </w:r>
      <w:r>
        <w:rPr>
          <w:i/>
        </w:rPr>
        <w:t>5</w:t>
      </w:r>
      <w:r w:rsidR="00FB65A7">
        <w:rPr>
          <w:i/>
        </w:rPr>
        <w:t>5</w:t>
      </w:r>
      <w:r w:rsidRPr="009B7C21">
        <w:rPr>
          <w:i/>
        </w:rPr>
        <w:t>:</w:t>
      </w:r>
      <w:r>
        <w:rPr>
          <w:b/>
        </w:rPr>
        <w:t xml:space="preserve"> </w:t>
      </w:r>
      <w:r>
        <w:rPr>
          <w:i/>
        </w:rPr>
        <w:t>suggest adding at the end:</w:t>
      </w:r>
    </w:p>
    <w:p w14:paraId="2091DC29" w14:textId="2C84DC6A" w:rsidR="009B7C21" w:rsidRDefault="009B7C21" w:rsidP="00547F4B">
      <w:r>
        <w:t xml:space="preserve">For example, States have had different experiences to date in developing national laws, regulations and institutions, as well as in developing their understanding of international law as it applies to cyber activities.  </w:t>
      </w:r>
      <w:r w:rsidR="00E0452A">
        <w:t>States recognized</w:t>
      </w:r>
      <w:r>
        <w:t xml:space="preserve"> that greater experience sharing and capacity building in these areas would both strengthen national capabilities and contribute to greater international understanding and stability.</w:t>
      </w:r>
    </w:p>
    <w:p w14:paraId="22C74441" w14:textId="081ADD3E" w:rsidR="009B7C21" w:rsidRDefault="009B7C21" w:rsidP="00547F4B">
      <w:r w:rsidRPr="009B7C21">
        <w:rPr>
          <w:i/>
        </w:rPr>
        <w:t xml:space="preserve">Para </w:t>
      </w:r>
      <w:r w:rsidR="00FB65A7">
        <w:rPr>
          <w:i/>
        </w:rPr>
        <w:t>61</w:t>
      </w:r>
      <w:r w:rsidRPr="009B7C21">
        <w:rPr>
          <w:i/>
        </w:rPr>
        <w:t>:</w:t>
      </w:r>
      <w:r>
        <w:t xml:space="preserve"> </w:t>
      </w:r>
      <w:r>
        <w:rPr>
          <w:i/>
        </w:rPr>
        <w:t>suggest adding at the end:</w:t>
      </w:r>
    </w:p>
    <w:p w14:paraId="682018AE" w14:textId="77777777" w:rsidR="008152DC" w:rsidRDefault="008152DC" w:rsidP="008152DC">
      <w:r>
        <w:t xml:space="preserve">Some States argued that to achieve these objectives, </w:t>
      </w:r>
      <w:bookmarkStart w:id="11" w:name="_Hlk55996966"/>
      <w:r>
        <w:t>when implementing their own cyber security strategies and when delivering cyber capacity building, States should consider:</w:t>
      </w:r>
    </w:p>
    <w:p w14:paraId="53E03781" w14:textId="77777777" w:rsidR="009B7C21" w:rsidRPr="005766ED" w:rsidRDefault="009B7C21" w:rsidP="009B7C21">
      <w:pPr>
        <w:numPr>
          <w:ilvl w:val="0"/>
          <w:numId w:val="14"/>
        </w:numPr>
        <w:spacing w:after="0" w:line="276" w:lineRule="auto"/>
        <w:rPr>
          <w:rFonts w:cstheme="minorHAnsi"/>
        </w:rPr>
      </w:pPr>
      <w:r w:rsidRPr="005766ED">
        <w:rPr>
          <w:rFonts w:cstheme="minorHAnsi"/>
        </w:rPr>
        <w:t>integrat</w:t>
      </w:r>
      <w:r>
        <w:rPr>
          <w:rFonts w:cstheme="minorHAnsi"/>
        </w:rPr>
        <w:t>ing</w:t>
      </w:r>
      <w:r w:rsidRPr="005766ED">
        <w:rPr>
          <w:rFonts w:cstheme="minorHAnsi"/>
        </w:rPr>
        <w:t xml:space="preserve"> their obligations to protect, promote and uphold women’s human rights as part of their cybersecurity strategies;</w:t>
      </w:r>
    </w:p>
    <w:p w14:paraId="5BBE255B" w14:textId="77777777" w:rsidR="009B7C21" w:rsidRPr="005766ED" w:rsidRDefault="009B7C21" w:rsidP="009B7C21">
      <w:pPr>
        <w:numPr>
          <w:ilvl w:val="0"/>
          <w:numId w:val="14"/>
        </w:numPr>
        <w:spacing w:after="0" w:line="276" w:lineRule="auto"/>
        <w:rPr>
          <w:rFonts w:cstheme="minorHAnsi"/>
        </w:rPr>
      </w:pPr>
      <w:r>
        <w:rPr>
          <w:rFonts w:cstheme="minorHAnsi"/>
        </w:rPr>
        <w:t>utilizing</w:t>
      </w:r>
      <w:r w:rsidRPr="005766ED">
        <w:rPr>
          <w:rFonts w:cstheme="minorHAnsi"/>
        </w:rPr>
        <w:t xml:space="preserve"> W</w:t>
      </w:r>
      <w:r>
        <w:rPr>
          <w:rFonts w:cstheme="minorHAnsi"/>
        </w:rPr>
        <w:t xml:space="preserve">omen </w:t>
      </w:r>
      <w:r w:rsidRPr="005766ED">
        <w:rPr>
          <w:rFonts w:cstheme="minorHAnsi"/>
        </w:rPr>
        <w:t>P</w:t>
      </w:r>
      <w:r>
        <w:rPr>
          <w:rFonts w:cstheme="minorHAnsi"/>
        </w:rPr>
        <w:t xml:space="preserve">eace and </w:t>
      </w:r>
      <w:r w:rsidRPr="005766ED">
        <w:rPr>
          <w:rFonts w:cstheme="minorHAnsi"/>
        </w:rPr>
        <w:t>S</w:t>
      </w:r>
      <w:r>
        <w:rPr>
          <w:rFonts w:cstheme="minorHAnsi"/>
        </w:rPr>
        <w:t>ecurity</w:t>
      </w:r>
      <w:r w:rsidRPr="005766ED">
        <w:rPr>
          <w:rFonts w:cstheme="minorHAnsi"/>
        </w:rPr>
        <w:t xml:space="preserve"> National Action Plans or opportunities provided by other frameworks to advance women’s participation within international cybersecurity, alongside their protection;</w:t>
      </w:r>
    </w:p>
    <w:p w14:paraId="28ABF791" w14:textId="77777777" w:rsidR="009B7C21" w:rsidRPr="005766ED" w:rsidRDefault="009B7C21" w:rsidP="009B7C21">
      <w:pPr>
        <w:numPr>
          <w:ilvl w:val="0"/>
          <w:numId w:val="14"/>
        </w:numPr>
        <w:spacing w:after="0" w:line="276" w:lineRule="auto"/>
        <w:rPr>
          <w:rFonts w:cstheme="minorHAnsi"/>
        </w:rPr>
      </w:pPr>
      <w:r>
        <w:rPr>
          <w:rFonts w:cstheme="minorHAnsi"/>
        </w:rPr>
        <w:t xml:space="preserve">conducting </w:t>
      </w:r>
      <w:r w:rsidRPr="005766ED">
        <w:rPr>
          <w:rFonts w:cstheme="minorHAnsi"/>
        </w:rPr>
        <w:t>a gender audit of national or regional cyber security policies to identify areas for improvement;</w:t>
      </w:r>
    </w:p>
    <w:p w14:paraId="6845318B" w14:textId="77777777" w:rsidR="009B7C21" w:rsidRDefault="009B7C21" w:rsidP="009B7C21">
      <w:pPr>
        <w:numPr>
          <w:ilvl w:val="0"/>
          <w:numId w:val="14"/>
        </w:numPr>
        <w:spacing w:after="0" w:line="276" w:lineRule="auto"/>
        <w:rPr>
          <w:rFonts w:cstheme="minorHAnsi"/>
        </w:rPr>
      </w:pPr>
      <w:r>
        <w:rPr>
          <w:rFonts w:cstheme="minorHAnsi"/>
        </w:rPr>
        <w:lastRenderedPageBreak/>
        <w:t>m</w:t>
      </w:r>
      <w:r w:rsidRPr="005766ED">
        <w:rPr>
          <w:rFonts w:cstheme="minorHAnsi"/>
        </w:rPr>
        <w:t>aintain</w:t>
      </w:r>
      <w:r>
        <w:rPr>
          <w:rFonts w:cstheme="minorHAnsi"/>
        </w:rPr>
        <w:t>ing</w:t>
      </w:r>
      <w:r w:rsidRPr="005766ED">
        <w:rPr>
          <w:rFonts w:cstheme="minorHAnsi"/>
        </w:rPr>
        <w:t xml:space="preserve"> sex- or gender-disaggregated participation records for all cybersecurity related work (diplomacy, capacity building, incident response, etc.);</w:t>
      </w:r>
      <w:r>
        <w:rPr>
          <w:rFonts w:cstheme="minorHAnsi"/>
        </w:rPr>
        <w:t xml:space="preserve"> and</w:t>
      </w:r>
    </w:p>
    <w:p w14:paraId="418A805B" w14:textId="296909F7" w:rsidR="009B7C21" w:rsidRDefault="009B7C21" w:rsidP="009B7C21">
      <w:pPr>
        <w:numPr>
          <w:ilvl w:val="0"/>
          <w:numId w:val="14"/>
        </w:numPr>
        <w:spacing w:after="0" w:line="276" w:lineRule="auto"/>
        <w:rPr>
          <w:rFonts w:cstheme="minorHAnsi"/>
        </w:rPr>
      </w:pPr>
      <w:proofErr w:type="gramStart"/>
      <w:r>
        <w:rPr>
          <w:rFonts w:cstheme="minorHAnsi"/>
        </w:rPr>
        <w:t>r</w:t>
      </w:r>
      <w:r w:rsidRPr="005766ED">
        <w:rPr>
          <w:rFonts w:cstheme="minorHAnsi"/>
        </w:rPr>
        <w:t>ecogniz</w:t>
      </w:r>
      <w:r>
        <w:rPr>
          <w:rFonts w:cstheme="minorHAnsi"/>
        </w:rPr>
        <w:t>ing</w:t>
      </w:r>
      <w:proofErr w:type="gramEnd"/>
      <w:r w:rsidRPr="005766ED">
        <w:rPr>
          <w:rFonts w:cstheme="minorHAnsi"/>
        </w:rPr>
        <w:t xml:space="preserve"> that capacity-building must be gender-sensitive and gender diverse</w:t>
      </w:r>
      <w:bookmarkEnd w:id="11"/>
      <w:r>
        <w:rPr>
          <w:rFonts w:cstheme="minorHAnsi"/>
        </w:rPr>
        <w:t>.</w:t>
      </w:r>
    </w:p>
    <w:p w14:paraId="3DB02185" w14:textId="2902CE86" w:rsidR="009B7C21" w:rsidRDefault="009B7C21" w:rsidP="009B7C21">
      <w:pPr>
        <w:spacing w:after="0" w:line="276" w:lineRule="auto"/>
        <w:rPr>
          <w:rFonts w:cstheme="minorHAnsi"/>
        </w:rPr>
      </w:pPr>
    </w:p>
    <w:p w14:paraId="6BB9B109" w14:textId="63D9D9D7" w:rsidR="009B7C21" w:rsidRPr="009B7C21" w:rsidRDefault="009B7C21" w:rsidP="009B7C21">
      <w:r w:rsidRPr="009B7C21">
        <w:rPr>
          <w:i/>
        </w:rPr>
        <w:t xml:space="preserve">Para </w:t>
      </w:r>
      <w:r w:rsidR="00FB65A7">
        <w:rPr>
          <w:i/>
        </w:rPr>
        <w:t>74</w:t>
      </w:r>
      <w:r>
        <w:rPr>
          <w:i/>
        </w:rPr>
        <w:t>a</w:t>
      </w:r>
      <w:r w:rsidRPr="009B7C21">
        <w:rPr>
          <w:i/>
        </w:rPr>
        <w:t>:</w:t>
      </w:r>
      <w:r>
        <w:t xml:space="preserve"> </w:t>
      </w:r>
      <w:r>
        <w:rPr>
          <w:i/>
        </w:rPr>
        <w:t>suggest adding at the end:</w:t>
      </w:r>
    </w:p>
    <w:p w14:paraId="0DE2ABE7" w14:textId="36FF3BBA" w:rsidR="009B7C21" w:rsidRPr="00317BE3" w:rsidRDefault="00317BE3" w:rsidP="00547F4B">
      <w:r w:rsidRPr="00317BE3">
        <w:t>Expanding cooperation on national capacity building on international law would be very helpful in this regard.</w:t>
      </w:r>
    </w:p>
    <w:p w14:paraId="65B1834A" w14:textId="77777777" w:rsidR="00612489" w:rsidRDefault="00612489"/>
    <w:sectPr w:rsidR="0061248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cBryde, Daniel -IOC" w:date="2020-11-27T10:36:00Z" w:initials="MD-">
    <w:p w14:paraId="1F1A8E92" w14:textId="77777777" w:rsidR="003D2464" w:rsidRDefault="003D2464" w:rsidP="003D2464">
      <w:pPr>
        <w:pStyle w:val="CommentText"/>
      </w:pPr>
      <w:r w:rsidRPr="00CE33B3">
        <w:rPr>
          <w:rStyle w:val="CommentReference"/>
          <w:highlight w:val="yellow"/>
        </w:rPr>
        <w:annotationRef/>
      </w:r>
      <w:r w:rsidRPr="00813329">
        <w:t xml:space="preserve">New proposed language, </w:t>
      </w:r>
      <w:r>
        <w:t>based on</w:t>
      </w:r>
      <w:r w:rsidRPr="00813329">
        <w:t xml:space="preserve"> input from Finland, Netherlands and Switzerland, reflecting draft 2017 GGE report and</w:t>
      </w:r>
      <w:r>
        <w:t xml:space="preserve"> the</w:t>
      </w:r>
      <w:r w:rsidRPr="00813329">
        <w:t xml:space="preserve"> current draft GGE report. </w:t>
      </w:r>
    </w:p>
  </w:comment>
  <w:comment w:id="1" w:author="McBryde, Daniel -IOC" w:date="2020-11-13T15:59:00Z" w:initials="MD-">
    <w:p w14:paraId="58DC49E9" w14:textId="77777777" w:rsidR="003D2464" w:rsidRDefault="003D2464" w:rsidP="003D2464">
      <w:pPr>
        <w:pStyle w:val="CommentText"/>
      </w:pPr>
      <w:r>
        <w:rPr>
          <w:rStyle w:val="CommentReference"/>
        </w:rPr>
        <w:annotationRef/>
      </w:r>
      <w:r>
        <w:t>Adapted from NAM proposed language in norms non-paper.</w:t>
      </w:r>
    </w:p>
  </w:comment>
  <w:comment w:id="2" w:author="McBryde, Daniel -IOC" w:date="2020-11-19T08:01:00Z" w:initials="MD-">
    <w:p w14:paraId="160C4571" w14:textId="77777777" w:rsidR="003D2464" w:rsidRDefault="003D2464" w:rsidP="003D2464">
      <w:pPr>
        <w:pStyle w:val="CommentText"/>
      </w:pPr>
      <w:r>
        <w:rPr>
          <w:rStyle w:val="CommentReference"/>
        </w:rPr>
        <w:annotationRef/>
      </w:r>
      <w:r>
        <w:t xml:space="preserve">Minor edits suggested by the UK. </w:t>
      </w:r>
    </w:p>
  </w:comment>
  <w:comment w:id="3" w:author="McBryde, Daniel -IOC" w:date="2020-11-19T07:48:00Z" w:initials="MD-">
    <w:p w14:paraId="6FD0B2B3" w14:textId="45D03E1C" w:rsidR="003D2464" w:rsidRDefault="003D2464" w:rsidP="003D2464">
      <w:pPr>
        <w:pStyle w:val="CommentText"/>
      </w:pPr>
      <w:r>
        <w:rPr>
          <w:rStyle w:val="CommentReference"/>
        </w:rPr>
        <w:annotationRef/>
      </w:r>
      <w:r w:rsidR="00C93282">
        <w:rPr>
          <w:rFonts w:ascii="Calibri" w:hAnsi="Calibri" w:cs="Calibri"/>
          <w:sz w:val="22"/>
          <w:szCs w:val="22"/>
        </w:rPr>
        <w:t>Adapted language from RO</w:t>
      </w:r>
      <w:r w:rsidRPr="00A02323">
        <w:rPr>
          <w:rFonts w:ascii="Calibri" w:hAnsi="Calibri" w:cs="Calibri"/>
          <w:sz w:val="22"/>
          <w:szCs w:val="22"/>
        </w:rPr>
        <w:t>K text, which is intended to concretize the due diligence duty, so that countries can easily understand what it is and how they should act in accordance with this duty.</w:t>
      </w:r>
    </w:p>
  </w:comment>
  <w:comment w:id="4" w:author="McBryde, Daniel -IOC" w:date="2020-10-20T10:30:00Z" w:initials="MD-">
    <w:p w14:paraId="34647523" w14:textId="7E4A69B5" w:rsidR="003D2464" w:rsidRPr="00813329" w:rsidRDefault="003D2464" w:rsidP="003D2464">
      <w:r>
        <w:rPr>
          <w:rStyle w:val="CommentReference"/>
        </w:rPr>
        <w:annotationRef/>
      </w:r>
      <w:r>
        <w:t>Compromise private actors text, which is a slightly modified version of the text that had initially been tabled by Croatia, Finland, France and Slovenia</w:t>
      </w:r>
      <w:r>
        <w:rPr>
          <w:b/>
        </w:rPr>
        <w:t xml:space="preserve">. </w:t>
      </w:r>
      <w:r w:rsidRPr="00813329">
        <w:t xml:space="preserve">Includes input from </w:t>
      </w:r>
      <w:r w:rsidR="00C93282">
        <w:t>the Czech Republic</w:t>
      </w:r>
      <w:r w:rsidRPr="00813329">
        <w:t xml:space="preserve"> also.</w:t>
      </w:r>
    </w:p>
    <w:p w14:paraId="0CEEA027" w14:textId="77777777" w:rsidR="003D2464" w:rsidRDefault="003D2464" w:rsidP="003D2464">
      <w:pPr>
        <w:pStyle w:val="CommentText"/>
      </w:pPr>
    </w:p>
  </w:comment>
  <w:comment w:id="5" w:author="McBryde, Daniel -IOC" w:date="2020-11-30T11:20:00Z" w:initials="MD-">
    <w:p w14:paraId="317EE0C9" w14:textId="77777777" w:rsidR="00480AAD" w:rsidRDefault="00480AAD" w:rsidP="00480AAD">
      <w:pPr>
        <w:pStyle w:val="CommentText"/>
      </w:pPr>
      <w:r>
        <w:rPr>
          <w:rStyle w:val="CommentReference"/>
        </w:rPr>
        <w:annotationRef/>
      </w:r>
      <w:r>
        <w:t>Suggested edits by CZ.</w:t>
      </w:r>
    </w:p>
  </w:comment>
  <w:comment w:id="7" w:author="McBryde, Daniel -IOC" w:date="2020-11-27T11:11:00Z" w:initials="MD-">
    <w:p w14:paraId="3982A2E1" w14:textId="5E38E6C4" w:rsidR="003D2464" w:rsidRDefault="003D2464" w:rsidP="003D2464">
      <w:pPr>
        <w:pStyle w:val="CommentText"/>
      </w:pPr>
      <w:r>
        <w:rPr>
          <w:rStyle w:val="CommentReference"/>
        </w:rPr>
        <w:annotationRef/>
      </w:r>
      <w:r>
        <w:t>Modi</w:t>
      </w:r>
      <w:r w:rsidR="00C93282">
        <w:t>fications based on suggested CZ</w:t>
      </w:r>
      <w:r>
        <w:t xml:space="preserve"> proposals</w:t>
      </w:r>
    </w:p>
  </w:comment>
  <w:comment w:id="8" w:author="McBryde, Daniel -IOC" w:date="2020-11-27T11:41:00Z" w:initials="MD-">
    <w:p w14:paraId="09CB74B5" w14:textId="55F624F0" w:rsidR="003D2464" w:rsidRDefault="003D2464">
      <w:pPr>
        <w:pStyle w:val="CommentText"/>
      </w:pPr>
      <w:r>
        <w:rPr>
          <w:rStyle w:val="CommentReference"/>
        </w:rPr>
        <w:annotationRef/>
      </w:r>
      <w:r>
        <w:t>We understand that Singapore led a small working group that proposed the GGE report use the phrase: “critical infrastructure that provide services regionally or internationally” instead. We like this formulation and have incorporated it here.</w:t>
      </w:r>
    </w:p>
  </w:comment>
  <w:comment w:id="9" w:author="McBryde, Daniel -IOC" w:date="2020-10-20T10:30:00Z" w:initials="MD-">
    <w:p w14:paraId="5912BD37" w14:textId="77777777" w:rsidR="003D2464" w:rsidRDefault="003D2464" w:rsidP="003D2464">
      <w:pPr>
        <w:pStyle w:val="CommentText"/>
      </w:pPr>
      <w:r>
        <w:rPr>
          <w:rStyle w:val="CommentReference"/>
        </w:rPr>
        <w:annotationRef/>
      </w:r>
      <w:r>
        <w:t xml:space="preserve"> COVID / health sector text, initially proposed by Australia, Czech Republic, Estonia, Japan, Kazakhstan and the US. Minor modifications made to incorporate it seamlessly into this text.</w:t>
      </w:r>
    </w:p>
  </w:comment>
  <w:comment w:id="10" w:author="McBryde, Daniel -IOC" w:date="2020-11-19T07:51:00Z" w:initials="MD-">
    <w:p w14:paraId="3EF1D619" w14:textId="77777777" w:rsidR="003D2464" w:rsidRDefault="003D2464" w:rsidP="003D2464">
      <w:pPr>
        <w:pStyle w:val="CommentText"/>
      </w:pPr>
      <w:r>
        <w:rPr>
          <w:rStyle w:val="CommentReference"/>
        </w:rPr>
        <w:annotationRef/>
      </w:r>
      <w:r>
        <w:t>Adapted from NAM proposed language in norms non-paper.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A8E92" w15:done="0"/>
  <w15:commentEx w15:paraId="58DC49E9" w15:done="0"/>
  <w15:commentEx w15:paraId="160C4571" w15:done="0"/>
  <w15:commentEx w15:paraId="6FD0B2B3" w15:done="0"/>
  <w15:commentEx w15:paraId="0CEEA027" w15:done="0"/>
  <w15:commentEx w15:paraId="317EE0C9" w15:done="0"/>
  <w15:commentEx w15:paraId="3982A2E1" w15:done="0"/>
  <w15:commentEx w15:paraId="09CB74B5" w15:done="0"/>
  <w15:commentEx w15:paraId="5912BD37" w15:done="0"/>
  <w15:commentEx w15:paraId="3EF1D6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04AA3" w16cid:durableId="235654C0"/>
  <w16cid:commentId w16cid:paraId="4A259E98" w16cid:durableId="23568F87"/>
  <w16cid:commentId w16cid:paraId="5EF98962" w16cid:durableId="2356534F"/>
  <w16cid:commentId w16cid:paraId="61E6F0B3" w16cid:durableId="2356705B"/>
  <w16cid:commentId w16cid:paraId="4F5CEBD7" w16cid:durableId="23565350"/>
  <w16cid:commentId w16cid:paraId="2F2AE93A" w16cid:durableId="235688CF"/>
  <w16cid:commentId w16cid:paraId="0EA8D81C" w16cid:durableId="23566B83"/>
  <w16cid:commentId w16cid:paraId="6C4CD3BD" w16cid:durableId="23565351"/>
  <w16cid:commentId w16cid:paraId="1787ABBE" w16cid:durableId="23568E75"/>
  <w16cid:commentId w16cid:paraId="13D7C23E" w16cid:durableId="2356709E"/>
  <w16cid:commentId w16cid:paraId="7EFD8121" w16cid:durableId="235671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FA"/>
    <w:multiLevelType w:val="hybridMultilevel"/>
    <w:tmpl w:val="0108E3D2"/>
    <w:lvl w:ilvl="0" w:tplc="75BE76A0">
      <w:start w:val="1"/>
      <w:numFmt w:val="lowerRoman"/>
      <w:lvlText w:val="%1."/>
      <w:lvlJc w:val="right"/>
      <w:pPr>
        <w:ind w:left="720" w:hanging="36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536229A6">
      <w:start w:val="1"/>
      <w:numFmt w:val="bullet"/>
      <w:lvlText w:val="-"/>
      <w:lvlJc w:val="left"/>
      <w:pPr>
        <w:ind w:left="2880" w:hanging="360"/>
      </w:pPr>
      <w:rPr>
        <w:rFonts w:ascii="Calibri" w:eastAsia="Arial Unicode MS" w:hAnsi="Calibri" w:cs="Wingding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A3041E"/>
    <w:multiLevelType w:val="hybridMultilevel"/>
    <w:tmpl w:val="EE060BB4"/>
    <w:lvl w:ilvl="0" w:tplc="75BE76A0">
      <w:start w:val="1"/>
      <w:numFmt w:val="lowerRoman"/>
      <w:lvlText w:val="%1."/>
      <w:lvlJc w:val="right"/>
      <w:pPr>
        <w:ind w:left="720" w:hanging="36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4148F52A">
      <w:start w:val="6"/>
      <w:numFmt w:val="lowerLetter"/>
      <w:lvlText w:val="%2."/>
      <w:lvlJc w:val="left"/>
      <w:pPr>
        <w:ind w:left="1440" w:hanging="360"/>
      </w:pPr>
      <w:rPr>
        <w:rFonts w:eastAsia="Arial Unicode M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8F1D21"/>
    <w:multiLevelType w:val="hybridMultilevel"/>
    <w:tmpl w:val="F24E36C8"/>
    <w:lvl w:ilvl="0" w:tplc="DD22E962">
      <w:start w:val="1"/>
      <w:numFmt w:val="decimal"/>
      <w:lvlText w:val="%1."/>
      <w:lvlJc w:val="left"/>
      <w:pPr>
        <w:ind w:left="720" w:hanging="360"/>
      </w:pPr>
      <w:rPr>
        <w:rFonts w:hint="default"/>
        <w:b w:val="0"/>
        <w:i w:val="0"/>
      </w:rPr>
    </w:lvl>
    <w:lvl w:ilvl="1" w:tplc="9DF8991E">
      <w:start w:val="1"/>
      <w:numFmt w:val="lowerLetter"/>
      <w:lvlText w:val="%2."/>
      <w:lvlJc w:val="left"/>
      <w:pPr>
        <w:ind w:left="1440" w:hanging="360"/>
      </w:pPr>
      <w:rPr>
        <w:rFonts w:ascii="Times New Roman" w:hAnsi="Times New Roman" w:hint="default"/>
        <w:b w:val="0"/>
        <w:i w:val="0"/>
      </w:rPr>
    </w:lvl>
    <w:lvl w:ilvl="2" w:tplc="F22AC750">
      <w:start w:val="1"/>
      <w:numFmt w:val="lowerRoman"/>
      <w:lvlText w:val="%3."/>
      <w:lvlJc w:val="right"/>
      <w:pPr>
        <w:ind w:left="2160" w:hanging="180"/>
      </w:pPr>
      <w:rPr>
        <w:rFonts w:ascii="Times New Roman" w:hAnsi="Times New Roman" w:cs="Times New Roman" w:hint="default"/>
        <w:b w:val="0"/>
        <w:i/>
        <w:caps w:val="0"/>
        <w:strike w:val="0"/>
        <w:dstrike w:val="0"/>
        <w:vanish w:val="0"/>
        <w:color w:val="auto"/>
        <w:sz w:val="24"/>
        <w:szCs w:val="24"/>
        <w:u w:color="000000" w:themeColor="text1"/>
        <w:vertAlign w:val="baseline"/>
      </w:rPr>
    </w:lvl>
    <w:lvl w:ilvl="3" w:tplc="536229A6">
      <w:start w:val="1"/>
      <w:numFmt w:val="bullet"/>
      <w:lvlText w:val="-"/>
      <w:lvlJc w:val="left"/>
      <w:pPr>
        <w:ind w:left="2880" w:hanging="360"/>
      </w:pPr>
      <w:rPr>
        <w:rFonts w:ascii="Calibri" w:eastAsia="Arial Unicode MS" w:hAnsi="Calibri" w:cs="Wingdings" w:hint="default"/>
      </w:rPr>
    </w:lvl>
    <w:lvl w:ilvl="4" w:tplc="536229A6">
      <w:start w:val="1"/>
      <w:numFmt w:val="bullet"/>
      <w:lvlText w:val="-"/>
      <w:lvlJc w:val="left"/>
      <w:pPr>
        <w:ind w:left="3600" w:hanging="360"/>
      </w:pPr>
      <w:rPr>
        <w:rFonts w:ascii="Calibri" w:eastAsia="Arial Unicode MS" w:hAnsi="Calibri" w:cs="Wingdings" w:hint="default"/>
        <w:i w:val="0"/>
        <w:color w:val="000000"/>
      </w:rPr>
    </w:lvl>
    <w:lvl w:ilvl="5" w:tplc="E5D0F362">
      <w:start w:val="28"/>
      <w:numFmt w:val="decimal"/>
      <w:lvlText w:val="%6"/>
      <w:lvlJc w:val="left"/>
      <w:pPr>
        <w:ind w:left="4500" w:hanging="360"/>
      </w:pPr>
      <w:rPr>
        <w:rFonts w:eastAsia="Arial Unicode M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7004B"/>
    <w:multiLevelType w:val="hybridMultilevel"/>
    <w:tmpl w:val="977ABA68"/>
    <w:lvl w:ilvl="0" w:tplc="DD22E962">
      <w:start w:val="1"/>
      <w:numFmt w:val="decimal"/>
      <w:lvlText w:val="%1."/>
      <w:lvlJc w:val="left"/>
      <w:pPr>
        <w:ind w:left="720" w:hanging="360"/>
      </w:pPr>
      <w:rPr>
        <w:rFonts w:hint="default"/>
        <w:b w:val="0"/>
        <w:i w:val="0"/>
      </w:rPr>
    </w:lvl>
    <w:lvl w:ilvl="1" w:tplc="9DF8991E">
      <w:start w:val="1"/>
      <w:numFmt w:val="lowerLetter"/>
      <w:lvlText w:val="%2."/>
      <w:lvlJc w:val="left"/>
      <w:pPr>
        <w:ind w:left="1352" w:hanging="360"/>
      </w:pPr>
      <w:rPr>
        <w:rFonts w:ascii="Times New Roman" w:hAnsi="Times New Roman" w:hint="default"/>
        <w:b w:val="0"/>
        <w:i w:val="0"/>
      </w:rPr>
    </w:lvl>
    <w:lvl w:ilvl="2" w:tplc="DF3EE6D2">
      <w:start w:val="1"/>
      <w:numFmt w:val="lowerRoman"/>
      <w:lvlText w:val="%3."/>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3" w:tplc="536229A6">
      <w:start w:val="1"/>
      <w:numFmt w:val="bullet"/>
      <w:lvlText w:val="-"/>
      <w:lvlJc w:val="left"/>
      <w:pPr>
        <w:ind w:left="2880" w:hanging="360"/>
      </w:pPr>
      <w:rPr>
        <w:rFonts w:ascii="Calibri" w:eastAsia="Arial Unicode MS" w:hAnsi="Calibri" w:cs="Wingdings" w:hint="default"/>
      </w:rPr>
    </w:lvl>
    <w:lvl w:ilvl="4" w:tplc="120E0564">
      <w:start w:val="1"/>
      <w:numFmt w:val="lowerRoman"/>
      <w:lvlText w:val="%5)"/>
      <w:lvlJc w:val="left"/>
      <w:pPr>
        <w:ind w:left="3960" w:hanging="720"/>
      </w:pPr>
      <w:rPr>
        <w:rFonts w:hint="default"/>
        <w:i w:val="0"/>
        <w:color w:val="000000"/>
      </w:rPr>
    </w:lvl>
    <w:lvl w:ilvl="5" w:tplc="30EC5D5C">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C724E"/>
    <w:multiLevelType w:val="multilevel"/>
    <w:tmpl w:val="F698D8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B7E7468"/>
    <w:multiLevelType w:val="hybridMultilevel"/>
    <w:tmpl w:val="9D58D0A0"/>
    <w:lvl w:ilvl="0" w:tplc="75BE76A0">
      <w:start w:val="1"/>
      <w:numFmt w:val="lowerRoman"/>
      <w:lvlText w:val="%1."/>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123CD"/>
    <w:multiLevelType w:val="hybridMultilevel"/>
    <w:tmpl w:val="688E7AC2"/>
    <w:lvl w:ilvl="0" w:tplc="F9FE3B92">
      <w:start w:val="1"/>
      <w:numFmt w:val="lowerRoman"/>
      <w:lvlText w:val="%1."/>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25EF2"/>
    <w:multiLevelType w:val="hybridMultilevel"/>
    <w:tmpl w:val="02D62708"/>
    <w:lvl w:ilvl="0" w:tplc="75BE76A0">
      <w:start w:val="1"/>
      <w:numFmt w:val="lowerRoman"/>
      <w:lvlText w:val="%1."/>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A39CA"/>
    <w:multiLevelType w:val="hybridMultilevel"/>
    <w:tmpl w:val="541C114A"/>
    <w:lvl w:ilvl="0" w:tplc="A912866E">
      <w:start w:val="1"/>
      <w:numFmt w:val="lowerRoman"/>
      <w:lvlText w:val="%1."/>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730260"/>
    <w:multiLevelType w:val="hybridMultilevel"/>
    <w:tmpl w:val="83FCCF9E"/>
    <w:lvl w:ilvl="0" w:tplc="536229A6">
      <w:start w:val="1"/>
      <w:numFmt w:val="bullet"/>
      <w:lvlText w:val="-"/>
      <w:lvlJc w:val="left"/>
      <w:pPr>
        <w:ind w:left="2223" w:hanging="360"/>
      </w:pPr>
      <w:rPr>
        <w:rFonts w:ascii="Calibri" w:eastAsia="Arial Unicode MS" w:hAnsi="Calibri" w:cs="Wingdings" w:hint="default"/>
      </w:rPr>
    </w:lvl>
    <w:lvl w:ilvl="1" w:tplc="08090003" w:tentative="1">
      <w:start w:val="1"/>
      <w:numFmt w:val="bullet"/>
      <w:lvlText w:val="o"/>
      <w:lvlJc w:val="left"/>
      <w:pPr>
        <w:ind w:left="2943" w:hanging="360"/>
      </w:pPr>
      <w:rPr>
        <w:rFonts w:ascii="Courier New" w:hAnsi="Courier New" w:cs="Wingdings"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Wingdings"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Wingdings" w:hint="default"/>
      </w:rPr>
    </w:lvl>
    <w:lvl w:ilvl="8" w:tplc="08090005" w:tentative="1">
      <w:start w:val="1"/>
      <w:numFmt w:val="bullet"/>
      <w:lvlText w:val=""/>
      <w:lvlJc w:val="left"/>
      <w:pPr>
        <w:ind w:left="7983" w:hanging="360"/>
      </w:pPr>
      <w:rPr>
        <w:rFonts w:ascii="Wingdings" w:hAnsi="Wingdings" w:hint="default"/>
      </w:rPr>
    </w:lvl>
  </w:abstractNum>
  <w:abstractNum w:abstractNumId="10" w15:restartNumberingAfterBreak="0">
    <w:nsid w:val="6D355B26"/>
    <w:multiLevelType w:val="hybridMultilevel"/>
    <w:tmpl w:val="F34AFFA4"/>
    <w:lvl w:ilvl="0" w:tplc="9046717A">
      <w:start w:val="1"/>
      <w:numFmt w:val="lowerRoman"/>
      <w:lvlText w:val="%1."/>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414B6"/>
    <w:multiLevelType w:val="hybridMultilevel"/>
    <w:tmpl w:val="8E34CF12"/>
    <w:lvl w:ilvl="0" w:tplc="0809000F">
      <w:start w:val="1"/>
      <w:numFmt w:val="decimal"/>
      <w:lvlText w:val="%1."/>
      <w:lvlJc w:val="left"/>
      <w:pPr>
        <w:ind w:left="720" w:hanging="360"/>
      </w:pPr>
    </w:lvl>
    <w:lvl w:ilvl="1" w:tplc="BD04EF92">
      <w:start w:val="1"/>
      <w:numFmt w:val="lowerLetter"/>
      <w:lvlText w:val="%2."/>
      <w:lvlJc w:val="left"/>
      <w:pPr>
        <w:ind w:left="1440" w:hanging="360"/>
      </w:pPr>
      <w:rPr>
        <w:rFonts w:ascii="Times New Roman" w:hAnsi="Times New Roman" w:hint="default"/>
      </w:rPr>
    </w:lvl>
    <w:lvl w:ilvl="2" w:tplc="75BE76A0">
      <w:start w:val="1"/>
      <w:numFmt w:val="lowerRoman"/>
      <w:lvlText w:val="%3."/>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3" w:tplc="536229A6">
      <w:start w:val="1"/>
      <w:numFmt w:val="bullet"/>
      <w:lvlText w:val="-"/>
      <w:lvlJc w:val="left"/>
      <w:pPr>
        <w:ind w:left="2880" w:hanging="360"/>
      </w:pPr>
      <w:rPr>
        <w:rFonts w:ascii="Calibri" w:eastAsia="Arial Unicode MS" w:hAnsi="Calibri" w:cs="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05F33"/>
    <w:multiLevelType w:val="hybridMultilevel"/>
    <w:tmpl w:val="E04206E2"/>
    <w:lvl w:ilvl="0" w:tplc="50622782">
      <w:start w:val="1"/>
      <w:numFmt w:val="lowerRoman"/>
      <w:lvlText w:val="%1."/>
      <w:lvlJc w:val="right"/>
      <w:pPr>
        <w:ind w:left="2160" w:hanging="180"/>
      </w:pPr>
      <w:rPr>
        <w:rFonts w:ascii="Times New Roman" w:hAnsi="Times New Roman" w:cs="Times New Roman" w:hint="default"/>
        <w:b w:val="0"/>
        <w:i w:val="0"/>
        <w:caps w:val="0"/>
        <w:strike w:val="0"/>
        <w:dstrike w:val="0"/>
        <w:vanish w:val="0"/>
        <w:color w:val="auto"/>
        <w:sz w:val="24"/>
        <w:szCs w:val="24"/>
        <w:u w:color="000000" w:themeColor="text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11"/>
  </w:num>
  <w:num w:numId="6">
    <w:abstractNumId w:val="0"/>
  </w:num>
  <w:num w:numId="7">
    <w:abstractNumId w:val="5"/>
  </w:num>
  <w:num w:numId="8">
    <w:abstractNumId w:val="10"/>
  </w:num>
  <w:num w:numId="9">
    <w:abstractNumId w:val="7"/>
  </w:num>
  <w:num w:numId="10">
    <w:abstractNumId w:val="12"/>
  </w:num>
  <w:num w:numId="11">
    <w:abstractNumId w:val="8"/>
  </w:num>
  <w:num w:numId="12">
    <w:abstractNumId w:val="6"/>
  </w:num>
  <w:num w:numId="13">
    <w:abstractNumId w:val="2"/>
    <w:lvlOverride w:ilvl="0">
      <w:startOverride w:val="1"/>
    </w:lvlOverride>
    <w:lvlOverride w:ilvl="1">
      <w:startOverride w:val="1"/>
    </w:lvlOverride>
    <w:lvlOverride w:ilvl="2">
      <w:startOverride w:val="1"/>
    </w:lvlOverride>
    <w:lvlOverride w:ilvl="3"/>
    <w:lvlOverride w:ilvl="4"/>
    <w:lvlOverride w:ilvl="5">
      <w:startOverride w:val="28"/>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lvlOverride w:ilvl="4"/>
    <w:lvlOverride w:ilvl="5">
      <w:startOverride w:val="28"/>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Bryde, Daniel -IOC">
    <w15:presenceInfo w15:providerId="AD" w15:userId="S-1-5-21-222453471-1129802657-623647154-266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4B"/>
    <w:rsid w:val="00006CA9"/>
    <w:rsid w:val="000123AE"/>
    <w:rsid w:val="00027717"/>
    <w:rsid w:val="000353F8"/>
    <w:rsid w:val="000541EA"/>
    <w:rsid w:val="000B1FF5"/>
    <w:rsid w:val="000D7CF3"/>
    <w:rsid w:val="001213FF"/>
    <w:rsid w:val="001A4D1D"/>
    <w:rsid w:val="001C32BD"/>
    <w:rsid w:val="001D629E"/>
    <w:rsid w:val="001E4693"/>
    <w:rsid w:val="001F61C9"/>
    <w:rsid w:val="00201D2E"/>
    <w:rsid w:val="00250586"/>
    <w:rsid w:val="00271A35"/>
    <w:rsid w:val="002B2A4A"/>
    <w:rsid w:val="002D1D52"/>
    <w:rsid w:val="00317BE3"/>
    <w:rsid w:val="00352B9E"/>
    <w:rsid w:val="003B768D"/>
    <w:rsid w:val="003D2464"/>
    <w:rsid w:val="003D5BE8"/>
    <w:rsid w:val="003E49C8"/>
    <w:rsid w:val="00415D28"/>
    <w:rsid w:val="00480AAD"/>
    <w:rsid w:val="004F5887"/>
    <w:rsid w:val="005053F4"/>
    <w:rsid w:val="00524A2B"/>
    <w:rsid w:val="0052512E"/>
    <w:rsid w:val="00525B91"/>
    <w:rsid w:val="005264EF"/>
    <w:rsid w:val="00533667"/>
    <w:rsid w:val="00547F4B"/>
    <w:rsid w:val="005648F7"/>
    <w:rsid w:val="005A5EB0"/>
    <w:rsid w:val="005B5E06"/>
    <w:rsid w:val="00612489"/>
    <w:rsid w:val="00642FAD"/>
    <w:rsid w:val="006C6044"/>
    <w:rsid w:val="006D0AF1"/>
    <w:rsid w:val="006E51F3"/>
    <w:rsid w:val="006E5284"/>
    <w:rsid w:val="006F31C3"/>
    <w:rsid w:val="00700914"/>
    <w:rsid w:val="008152DC"/>
    <w:rsid w:val="00841605"/>
    <w:rsid w:val="008E4613"/>
    <w:rsid w:val="00936772"/>
    <w:rsid w:val="00947EF8"/>
    <w:rsid w:val="00975A56"/>
    <w:rsid w:val="009B08F6"/>
    <w:rsid w:val="009B7C21"/>
    <w:rsid w:val="009D3B16"/>
    <w:rsid w:val="00A66322"/>
    <w:rsid w:val="00A86825"/>
    <w:rsid w:val="00AE6135"/>
    <w:rsid w:val="00AF6C5A"/>
    <w:rsid w:val="00B5090E"/>
    <w:rsid w:val="00B71029"/>
    <w:rsid w:val="00B84EF7"/>
    <w:rsid w:val="00B92BDD"/>
    <w:rsid w:val="00BC24EA"/>
    <w:rsid w:val="00C046A4"/>
    <w:rsid w:val="00C533C6"/>
    <w:rsid w:val="00C93282"/>
    <w:rsid w:val="00CA47D2"/>
    <w:rsid w:val="00CC490C"/>
    <w:rsid w:val="00D01212"/>
    <w:rsid w:val="00D218EB"/>
    <w:rsid w:val="00D710A3"/>
    <w:rsid w:val="00DE08A8"/>
    <w:rsid w:val="00E0452A"/>
    <w:rsid w:val="00EB174B"/>
    <w:rsid w:val="00EE2547"/>
    <w:rsid w:val="00F14313"/>
    <w:rsid w:val="00FB65A7"/>
    <w:rsid w:val="00FB6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25E9"/>
  <w15:chartTrackingRefBased/>
  <w15:docId w15:val="{5DBA336E-90C3-4566-A0BB-FC9FED0A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F4B"/>
    <w:rPr>
      <w:sz w:val="16"/>
      <w:szCs w:val="16"/>
    </w:rPr>
  </w:style>
  <w:style w:type="paragraph" w:styleId="CommentText">
    <w:name w:val="annotation text"/>
    <w:basedOn w:val="Normal"/>
    <w:link w:val="CommentTextChar"/>
    <w:uiPriority w:val="99"/>
    <w:semiHidden/>
    <w:unhideWhenUsed/>
    <w:rsid w:val="00547F4B"/>
    <w:pPr>
      <w:spacing w:line="240" w:lineRule="auto"/>
    </w:pPr>
    <w:rPr>
      <w:sz w:val="20"/>
      <w:szCs w:val="20"/>
    </w:rPr>
  </w:style>
  <w:style w:type="character" w:customStyle="1" w:styleId="CommentTextChar">
    <w:name w:val="Comment Text Char"/>
    <w:basedOn w:val="DefaultParagraphFont"/>
    <w:link w:val="CommentText"/>
    <w:uiPriority w:val="99"/>
    <w:semiHidden/>
    <w:rsid w:val="00547F4B"/>
    <w:rPr>
      <w:sz w:val="20"/>
      <w:szCs w:val="20"/>
    </w:rPr>
  </w:style>
  <w:style w:type="paragraph" w:styleId="ListParagraph">
    <w:name w:val="List Paragraph"/>
    <w:basedOn w:val="Normal"/>
    <w:uiPriority w:val="34"/>
    <w:qFormat/>
    <w:rsid w:val="00547F4B"/>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547F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ListParagraph1">
    <w:name w:val="List Paragraph1"/>
    <w:basedOn w:val="Normal"/>
    <w:uiPriority w:val="99"/>
    <w:qFormat/>
    <w:rsid w:val="00547F4B"/>
    <w:pPr>
      <w:suppressAutoHyphens/>
      <w:spacing w:after="200" w:line="276" w:lineRule="auto"/>
      <w:ind w:left="720"/>
      <w:contextualSpacing/>
    </w:pPr>
    <w:rPr>
      <w:rFonts w:ascii="Calibri" w:eastAsia="SimSun" w:hAnsi="Calibri" w:cs="Arial"/>
      <w:lang w:val="en-GB" w:eastAsia="zh-CN"/>
    </w:rPr>
  </w:style>
  <w:style w:type="paragraph" w:styleId="BalloonText">
    <w:name w:val="Balloon Text"/>
    <w:basedOn w:val="Normal"/>
    <w:link w:val="BalloonTextChar"/>
    <w:uiPriority w:val="99"/>
    <w:semiHidden/>
    <w:unhideWhenUsed/>
    <w:rsid w:val="0054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4313"/>
    <w:rPr>
      <w:b/>
      <w:bCs/>
    </w:rPr>
  </w:style>
  <w:style w:type="character" w:customStyle="1" w:styleId="CommentSubjectChar">
    <w:name w:val="Comment Subject Char"/>
    <w:basedOn w:val="CommentTextChar"/>
    <w:link w:val="CommentSubject"/>
    <w:uiPriority w:val="99"/>
    <w:semiHidden/>
    <w:rsid w:val="00F14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2561">
      <w:bodyDiv w:val="1"/>
      <w:marLeft w:val="0"/>
      <w:marRight w:val="0"/>
      <w:marTop w:val="0"/>
      <w:marBottom w:val="0"/>
      <w:divBdr>
        <w:top w:val="none" w:sz="0" w:space="0" w:color="auto"/>
        <w:left w:val="none" w:sz="0" w:space="0" w:color="auto"/>
        <w:bottom w:val="none" w:sz="0" w:space="0" w:color="auto"/>
        <w:right w:val="none" w:sz="0" w:space="0" w:color="auto"/>
      </w:divBdr>
    </w:div>
    <w:div w:id="1044410369">
      <w:bodyDiv w:val="1"/>
      <w:marLeft w:val="0"/>
      <w:marRight w:val="0"/>
      <w:marTop w:val="0"/>
      <w:marBottom w:val="0"/>
      <w:divBdr>
        <w:top w:val="none" w:sz="0" w:space="0" w:color="auto"/>
        <w:left w:val="none" w:sz="0" w:space="0" w:color="auto"/>
        <w:bottom w:val="none" w:sz="0" w:space="0" w:color="auto"/>
        <w:right w:val="none" w:sz="0" w:space="0" w:color="auto"/>
      </w:divBdr>
    </w:div>
    <w:div w:id="1527671120">
      <w:bodyDiv w:val="1"/>
      <w:marLeft w:val="0"/>
      <w:marRight w:val="0"/>
      <w:marTop w:val="0"/>
      <w:marBottom w:val="0"/>
      <w:divBdr>
        <w:top w:val="none" w:sz="0" w:space="0" w:color="auto"/>
        <w:left w:val="none" w:sz="0" w:space="0" w:color="auto"/>
        <w:bottom w:val="none" w:sz="0" w:space="0" w:color="auto"/>
        <w:right w:val="none" w:sz="0" w:space="0" w:color="auto"/>
      </w:divBdr>
    </w:div>
    <w:div w:id="1808425359">
      <w:bodyDiv w:val="1"/>
      <w:marLeft w:val="0"/>
      <w:marRight w:val="0"/>
      <w:marTop w:val="0"/>
      <w:marBottom w:val="0"/>
      <w:divBdr>
        <w:top w:val="none" w:sz="0" w:space="0" w:color="auto"/>
        <w:left w:val="none" w:sz="0" w:space="0" w:color="auto"/>
        <w:bottom w:val="none" w:sz="0" w:space="0" w:color="auto"/>
        <w:right w:val="none" w:sz="0" w:space="0" w:color="auto"/>
      </w:divBdr>
    </w:div>
    <w:div w:id="18424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9</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McBryde, Daniel -IOC</dc:creator>
  <cp:keywords/>
  <dc:description/>
  <cp:lastModifiedBy>McBryde, Daniel -IOC</cp:lastModifiedBy>
  <cp:revision>19</cp:revision>
  <dcterms:created xsi:type="dcterms:W3CDTF">2020-11-13T18:38:00Z</dcterms:created>
  <dcterms:modified xsi:type="dcterms:W3CDTF">2020-11-30T16:22:00Z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42485405-127e-4255-b808-9096ccc11d7f</vt:lpwstr>
  </property>
  <property fmtid="{D5CDD505-2E9C-101B-9397-08002B2CF9AE}" pid="3" name="SEC">
    <vt:lpwstr>OFFICIAL</vt:lpwstr>
  </property>
</Properties>
</file>